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A7A6" w14:textId="77777777" w:rsidR="00CA6E9F" w:rsidRDefault="00DE0365" w:rsidP="009C0074">
      <w:pPr>
        <w:spacing w:after="0" w:line="240" w:lineRule="auto"/>
        <w:jc w:val="both"/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</w:pPr>
      <w:r w:rsidRPr="00CA6E9F">
        <w:rPr>
          <w:rFonts w:ascii="Arial" w:hAnsi="Arial" w:cs="Arial"/>
          <w:b/>
          <w:color w:val="003399"/>
          <w:sz w:val="36"/>
          <w:szCs w:val="36"/>
          <w:u w:val="single"/>
        </w:rPr>
        <w:t>Specifické informace pro projekty pořizující speciální techniku a vybavení</w:t>
      </w:r>
      <w:r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 / </w:t>
      </w:r>
    </w:p>
    <w:p w14:paraId="1E9748AC" w14:textId="3181323A" w:rsidR="001B3652" w:rsidRPr="00CA6E9F" w:rsidRDefault="00DE0365" w:rsidP="009C0074">
      <w:pPr>
        <w:spacing w:after="0" w:line="240" w:lineRule="auto"/>
        <w:jc w:val="both"/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</w:pPr>
      <w:r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Szczegółowe informacje dotyczące projektów, </w:t>
      </w:r>
      <w:r w:rsidR="007F1999"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w ramach których </w:t>
      </w:r>
      <w:r w:rsidR="00122327"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>nabywany</w:t>
      </w:r>
      <w:r w:rsidR="007F1999" w:rsidRPr="00CA6E9F">
        <w:rPr>
          <w:rFonts w:ascii="Arial" w:hAnsi="Arial" w:cs="Arial"/>
          <w:b/>
          <w:color w:val="003399"/>
          <w:sz w:val="36"/>
          <w:szCs w:val="36"/>
          <w:u w:val="single"/>
          <w:lang w:val="pl-PL"/>
        </w:rPr>
        <w:t xml:space="preserve"> jest sprzęt i wyposażenie </w:t>
      </w:r>
    </w:p>
    <w:p w14:paraId="1190B714" w14:textId="77777777" w:rsidR="00DE0365" w:rsidRPr="00760B02" w:rsidRDefault="00DE0365" w:rsidP="009C0074">
      <w:pPr>
        <w:spacing w:after="0" w:line="240" w:lineRule="auto"/>
        <w:jc w:val="both"/>
        <w:rPr>
          <w:b/>
          <w:u w:val="single"/>
          <w:lang w:val="pl-PL"/>
        </w:rPr>
      </w:pPr>
    </w:p>
    <w:p w14:paraId="5E850E44" w14:textId="77777777" w:rsidR="00CA6E9F" w:rsidRDefault="00357F83" w:rsidP="009C007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Tato příloha je 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povinná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pro všechny projekty, které jsou realizovány v rámci Priorit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y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1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- IZS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,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a které zahrnují aktivity spojené s nákupem speciálních vozidel a ostatního vybavení nezbytné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ho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pro 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realizaci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cílů projektu. Informace zahrnuté v této příloze budou jedním z důležitých </w:t>
      </w:r>
      <w:r w:rsidR="00831CF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zdrojů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informací pro </w:t>
      </w:r>
      <w:r w:rsidR="00800191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kontrolu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přijatelnost</w:t>
      </w:r>
      <w:r w:rsidR="00763FDE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i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dle následujících kritérií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/ </w:t>
      </w:r>
    </w:p>
    <w:p w14:paraId="3A93E6F7" w14:textId="70E00DF9" w:rsidR="00CA52B8" w:rsidRPr="00CA6E9F" w:rsidRDefault="007C0625" w:rsidP="009C007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N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iniejszy załącznik </w:t>
      </w:r>
      <w:r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jest 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obowiązkowy </w:t>
      </w:r>
      <w:r w:rsidR="001B3652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dla </w:t>
      </w:r>
      <w:r w:rsidR="00BF1EEC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wszystkich projektów realiz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owanych w ramach priorytet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u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1</w:t>
      </w:r>
      <w:r w:rsidR="004055F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- Ratownicztwo</w:t>
      </w:r>
      <w:r w:rsidR="007B54E4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, które obejmują działania związane z zakupem pojazdów specjalistycznych i innego wyposażenia niezbędnego do realizacji celów projektu. 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Informacje zawarte w niniejszym załączniku będą jednym</w:t>
      </w:r>
      <w:r w:rsidR="001B3652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z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istotnych źródeł informacji </w:t>
      </w:r>
      <w:r w:rsidR="000E2CC0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w celu</w:t>
      </w:r>
      <w:r w:rsidR="00E411CC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kontrol</w:t>
      </w:r>
      <w:r w:rsidR="003E0B28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>i</w:t>
      </w:r>
      <w:r w:rsidR="00C81A27" w:rsidRPr="00CA6E9F">
        <w:rPr>
          <w:rFonts w:ascii="Arial" w:hAnsi="Arial" w:cs="Arial"/>
          <w:b/>
          <w:color w:val="000000" w:themeColor="text1"/>
          <w:sz w:val="20"/>
          <w:szCs w:val="20"/>
          <w:u w:val="single"/>
          <w:lang w:val="pl-PL"/>
        </w:rPr>
        <w:t xml:space="preserve"> kwalifikowalności dla następujących kryteriów: </w:t>
      </w:r>
    </w:p>
    <w:p w14:paraId="176C915A" w14:textId="77777777" w:rsidR="00BF1EEC" w:rsidRPr="00760B02" w:rsidRDefault="00BF1EEC" w:rsidP="009C0074">
      <w:pPr>
        <w:spacing w:after="0" w:line="240" w:lineRule="auto"/>
        <w:jc w:val="both"/>
        <w:rPr>
          <w:b/>
          <w:u w:val="single"/>
          <w:lang w:val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4531"/>
      </w:tblGrid>
      <w:tr w:rsidR="00C81A27" w:rsidRPr="00CA6E9F" w14:paraId="2EA76D87" w14:textId="77777777" w:rsidTr="00CA6E9F">
        <w:trPr>
          <w:trHeight w:val="2628"/>
          <w:jc w:val="center"/>
        </w:trPr>
        <w:tc>
          <w:tcPr>
            <w:tcW w:w="6578" w:type="dxa"/>
            <w:shd w:val="clear" w:color="auto" w:fill="auto"/>
          </w:tcPr>
          <w:p w14:paraId="0148FF61" w14:textId="1131DD63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20 -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technické podmínky </w:t>
            </w:r>
          </w:p>
          <w:p w14:paraId="4D3C6086" w14:textId="0125A487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Technika a/nebo vybavení zakoupené z</w:t>
            </w:r>
            <w:r w:rsid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 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prostředků programu musí splňovat technické předpoklady (technické normy), které nijak neomezují jejich použití na polské a české straně (např. v důsledku různých technických norem apod.).</w:t>
            </w:r>
          </w:p>
        </w:tc>
        <w:tc>
          <w:tcPr>
            <w:tcW w:w="6578" w:type="dxa"/>
          </w:tcPr>
          <w:p w14:paraId="6E1B8E0E" w14:textId="6B87EB9A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20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techniczne</w:t>
            </w:r>
          </w:p>
          <w:p w14:paraId="204FC0E2" w14:textId="4916907D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Nabywane ze środków programu sprzęty i/lub wyposażenie muszą spełniać założenia techniczne (normy techniczne), które w żaden sposób nie ograniczają ich zadysponowania/wykorzystania po stronie polskiej i czeskiej (np. w wyniku różnych norm technicznych, standardów itp.). </w:t>
            </w:r>
          </w:p>
        </w:tc>
      </w:tr>
      <w:tr w:rsidR="00C81A27" w:rsidRPr="00CA6E9F" w14:paraId="725A4F1F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1F4FCA38" w14:textId="6F13E0BB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21 - Pořízení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techniky a vybavení – právní podmínky </w:t>
            </w:r>
          </w:p>
          <w:p w14:paraId="68219C32" w14:textId="01B1DD16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Pracovník JS v tomto kritériu zohledňuje právní předpoklady těchto nákupů, tedy posuzuje existenci právních důvodů pro použití zakoupeného zařízení a/nebo zařízení pro společné aktivity – ověřuje obecné nebo dvoustranné normy, úmluvy, smlouvy o spolupráci atd.</w:t>
            </w:r>
          </w:p>
        </w:tc>
        <w:tc>
          <w:tcPr>
            <w:tcW w:w="6578" w:type="dxa"/>
          </w:tcPr>
          <w:p w14:paraId="63F4B3E0" w14:textId="2C037D9B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21 – </w:t>
            </w:r>
            <w:r w:rsidR="007F1999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one" w:sz="0" w:space="0" w:color="auto" w:frame="1"/>
                <w:lang w:val="pl-PL"/>
              </w:rPr>
              <w:t>Sprzęt i wyposażenie – wymagania prawne</w:t>
            </w:r>
          </w:p>
          <w:p w14:paraId="6C72274B" w14:textId="4A5FDD8D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W tym kryterium Menadżer WS bierze pod uwagę przesłanki prawne tych zakupów, tj. ocenia istnienie podstaw prawnych wykorzystania kupowanego sprzętu i/lub wyposażenia dla wspólnych działań – weryfikuje ogólne lub bilateralne normy, konwencje, umowy o współpracy itp</w:t>
            </w:r>
            <w:r w:rsidR="00B352B3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.</w:t>
            </w:r>
          </w:p>
        </w:tc>
      </w:tr>
      <w:tr w:rsidR="00C81A27" w:rsidRPr="00CA6E9F" w14:paraId="41DB8313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4F3ABDC3" w14:textId="77777777" w:rsidR="004055F8" w:rsidRPr="00CA6E9F" w:rsidRDefault="004055F8" w:rsidP="004055F8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22 - Speciální charakter vybavení </w:t>
            </w:r>
          </w:p>
          <w:p w14:paraId="0D9A413D" w14:textId="59C96DBE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Pracovník JS ověří, zda pořizovaná technika nebo vybavení je nezbytné pro prevenci a odstraňování následků rizik, spojených se změnami klimatu.  </w:t>
            </w:r>
          </w:p>
        </w:tc>
        <w:tc>
          <w:tcPr>
            <w:tcW w:w="6578" w:type="dxa"/>
          </w:tcPr>
          <w:p w14:paraId="168CB750" w14:textId="43D3EC61" w:rsidR="004055F8" w:rsidRPr="00CA6E9F" w:rsidRDefault="004055F8" w:rsidP="004055F8">
            <w:pPr>
              <w:spacing w:before="60" w:after="60" w:line="240" w:lineRule="auto"/>
              <w:jc w:val="both"/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Punkt 22 –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Specjalistyczny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charakter sprzętu</w:t>
            </w:r>
          </w:p>
          <w:p w14:paraId="71C58711" w14:textId="11EF5FEE" w:rsidR="00C81A27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Menadżer WS sprawdza, czy kupowan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y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 sprzęt </w:t>
            </w:r>
            <w:r w:rsidR="00487F56"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lub wyposażenie </w:t>
            </w: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są niezbędne do zapobiegania i eliminowania skutków zagrożeń związanych ze zmianami klimatu.</w:t>
            </w:r>
          </w:p>
        </w:tc>
      </w:tr>
      <w:tr w:rsidR="00C81A27" w:rsidRPr="00CA6E9F" w14:paraId="00E5118D" w14:textId="77777777" w:rsidTr="003D7AF4">
        <w:trPr>
          <w:trHeight w:val="563"/>
          <w:jc w:val="center"/>
        </w:trPr>
        <w:tc>
          <w:tcPr>
            <w:tcW w:w="6578" w:type="dxa"/>
            <w:shd w:val="clear" w:color="auto" w:fill="auto"/>
          </w:tcPr>
          <w:p w14:paraId="7C9DC63C" w14:textId="68A16250" w:rsidR="004055F8" w:rsidRPr="00CA6E9F" w:rsidRDefault="004055F8" w:rsidP="004055F8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Bod 23 - Přeshraničního využití 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 xml:space="preserve">speciální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</w:rPr>
              <w:t>techniky a vybavení</w:t>
            </w:r>
          </w:p>
          <w:p w14:paraId="4BCAD465" w14:textId="77777777" w:rsidR="004055F8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 xml:space="preserve">Kritérium se vztahuje na projekty, pro které je plánován nákup techniky a/nebo vybavení. </w:t>
            </w:r>
          </w:p>
          <w:p w14:paraId="1D4038F6" w14:textId="0A8BA22A" w:rsidR="00C81A27" w:rsidRPr="00CA6E9F" w:rsidRDefault="004055F8" w:rsidP="004055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Bude hodnoceno, zda je prokázána reálná potřeba přeshraničního využívání zakoupené techniky a vybavení.</w:t>
            </w:r>
          </w:p>
        </w:tc>
        <w:tc>
          <w:tcPr>
            <w:tcW w:w="6578" w:type="dxa"/>
          </w:tcPr>
          <w:p w14:paraId="2A79A359" w14:textId="683CA365" w:rsidR="004055F8" w:rsidRPr="00CA6E9F" w:rsidRDefault="004055F8" w:rsidP="004055F8">
            <w:pPr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</w:pP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Punkt 23 – Transgraniczne wykorzystanie</w:t>
            </w:r>
            <w:r w:rsidR="00DE0365"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specjalistycznego </w:t>
            </w:r>
            <w:r w:rsidRPr="00CA6E9F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>sprzętu i wyposażenia</w:t>
            </w:r>
            <w:r w:rsidRPr="00CA6E9F" w:rsidDel="000952BB">
              <w:rPr>
                <w:rFonts w:ascii="Arial" w:eastAsia="Cambria" w:hAnsi="Arial" w:cs="Arial"/>
                <w:b/>
                <w:bCs/>
                <w:color w:val="365F91" w:themeColor="accent1" w:themeShade="BF"/>
                <w:sz w:val="20"/>
                <w:szCs w:val="20"/>
                <w:bdr w:val="nil"/>
                <w:lang w:val="pl-PL"/>
              </w:rPr>
              <w:t xml:space="preserve"> </w:t>
            </w:r>
          </w:p>
          <w:p w14:paraId="177C6081" w14:textId="77777777" w:rsidR="004055F8" w:rsidRPr="00CA6E9F" w:rsidRDefault="004055F8" w:rsidP="00CA6E9F">
            <w:pPr>
              <w:spacing w:after="120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 xml:space="preserve">Kryterium dotyczy projektów, w których jest przewidziany zakup sprzętu i/lub wyposażenia. </w:t>
            </w:r>
          </w:p>
          <w:p w14:paraId="43D5ECAA" w14:textId="291F4A45" w:rsidR="00C81A27" w:rsidRPr="00CA6E9F" w:rsidRDefault="004055F8" w:rsidP="004055F8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</w:pPr>
            <w:r w:rsidRPr="00CA6E9F">
              <w:rPr>
                <w:rFonts w:ascii="Arial" w:eastAsia="Times New Roman" w:hAnsi="Arial" w:cs="Arial"/>
                <w:noProof/>
                <w:sz w:val="20"/>
                <w:szCs w:val="20"/>
                <w:lang w:val="pl-PL" w:eastAsia="cs-CZ"/>
              </w:rPr>
              <w:t>Będzie oceniane, czy w projektach wykazano realną potrzebę transgranicznego wykorzystywania zakupionego sprzętu i/lub wyposażenia.</w:t>
            </w:r>
            <w:r w:rsidRPr="00CA6E9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72C2BD57" w14:textId="77777777" w:rsidR="00C81A27" w:rsidRPr="00760B02" w:rsidRDefault="00C81A27" w:rsidP="009C0074">
      <w:pPr>
        <w:spacing w:after="0" w:line="240" w:lineRule="auto"/>
        <w:jc w:val="both"/>
        <w:rPr>
          <w:b/>
          <w:u w:val="single"/>
          <w:lang w:val="pl-PL"/>
        </w:rPr>
      </w:pPr>
    </w:p>
    <w:p w14:paraId="4EF24489" w14:textId="77777777" w:rsidR="00CA6E9F" w:rsidRDefault="00357F83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sz w:val="20"/>
          <w:szCs w:val="20"/>
          <w:u w:val="single"/>
        </w:rPr>
        <w:t>Žádáme o důkladné vyplnění všech částí v souladu s rozsahem aktivit, které jsou pop</w:t>
      </w:r>
      <w:r w:rsidR="00484B35" w:rsidRPr="00CA6E9F">
        <w:rPr>
          <w:rFonts w:ascii="Arial" w:hAnsi="Arial" w:cs="Arial"/>
          <w:b/>
          <w:sz w:val="20"/>
          <w:szCs w:val="20"/>
          <w:u w:val="single"/>
        </w:rPr>
        <w:t>sány v žádosti. Vezmě</w:t>
      </w:r>
      <w:r w:rsidRPr="00CA6E9F">
        <w:rPr>
          <w:rFonts w:ascii="Arial" w:hAnsi="Arial" w:cs="Arial"/>
          <w:b/>
          <w:sz w:val="20"/>
          <w:szCs w:val="20"/>
          <w:u w:val="single"/>
        </w:rPr>
        <w:t>te, prosím, v úvahu aktivity všech partnerů v</w:t>
      </w:r>
      <w:r w:rsidR="00553008" w:rsidRPr="00CA6E9F">
        <w:rPr>
          <w:rFonts w:ascii="Arial" w:hAnsi="Arial" w:cs="Arial"/>
          <w:b/>
          <w:sz w:val="20"/>
          <w:szCs w:val="20"/>
          <w:u w:val="single"/>
        </w:rPr>
        <w:t> </w:t>
      </w:r>
      <w:r w:rsidRPr="00CA6E9F">
        <w:rPr>
          <w:rFonts w:ascii="Arial" w:hAnsi="Arial" w:cs="Arial"/>
          <w:b/>
          <w:sz w:val="20"/>
          <w:szCs w:val="20"/>
          <w:u w:val="single"/>
        </w:rPr>
        <w:t>projektu</w:t>
      </w:r>
      <w:r w:rsidR="00553008" w:rsidRPr="00CA6E9F">
        <w:rPr>
          <w:rFonts w:ascii="Arial" w:hAnsi="Arial" w:cs="Arial"/>
          <w:b/>
          <w:sz w:val="20"/>
          <w:szCs w:val="20"/>
          <w:u w:val="single"/>
        </w:rPr>
        <w:t>.</w:t>
      </w: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/ </w:t>
      </w:r>
    </w:p>
    <w:p w14:paraId="2360B8D8" w14:textId="5746B749" w:rsidR="0091798D" w:rsidRPr="00CA6E9F" w:rsidRDefault="003E0B28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>P</w:t>
      </w:r>
      <w:r w:rsidR="001B3652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rosimy o </w:t>
      </w: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>dokładne</w:t>
      </w:r>
      <w:r w:rsidR="008963B8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wypełnienie wszystkich </w:t>
      </w:r>
      <w:r w:rsidRPr="00CA6E9F">
        <w:rPr>
          <w:rFonts w:ascii="Arial" w:hAnsi="Arial" w:cs="Arial"/>
          <w:b/>
          <w:sz w:val="20"/>
          <w:szCs w:val="20"/>
          <w:u w:val="single"/>
          <w:lang w:val="pl-PL"/>
        </w:rPr>
        <w:t>części</w:t>
      </w:r>
      <w:r w:rsidR="008963B8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 zgodnie z zakresem działań opisanych </w:t>
      </w:r>
      <w:r w:rsidR="00BF1EEC" w:rsidRPr="00CA6E9F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we wniosku projektowym. Prosimy wziąć po uwagę działania wszystkich partnerów projektu. </w:t>
      </w:r>
    </w:p>
    <w:p w14:paraId="20DADB76" w14:textId="77777777" w:rsidR="00BF1EEC" w:rsidRPr="00CA6E9F" w:rsidRDefault="00BF1EEC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7DD20576" w14:textId="77777777" w:rsidR="00BF1EEC" w:rsidRPr="00CA6E9F" w:rsidRDefault="00BF1EEC" w:rsidP="009C007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7DDF614F" w14:textId="77777777" w:rsidR="00CA6E9F" w:rsidRPr="00CA6E9F" w:rsidRDefault="00C66A54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Splňují technická řešení pořízené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Pr="00CA6E9F">
        <w:rPr>
          <w:rFonts w:ascii="Arial" w:hAnsi="Arial" w:cs="Arial"/>
          <w:sz w:val="20"/>
          <w:szCs w:val="20"/>
        </w:rPr>
        <w:t xml:space="preserve">techniky a vybavení normy a standardy nutné pro využití na druhé straně hranice? </w:t>
      </w:r>
      <w:r w:rsidR="00A46E10" w:rsidRPr="00CA6E9F">
        <w:rPr>
          <w:rFonts w:ascii="Arial" w:hAnsi="Arial" w:cs="Arial"/>
          <w:sz w:val="20"/>
          <w:szCs w:val="20"/>
        </w:rPr>
        <w:t xml:space="preserve"> </w:t>
      </w:r>
      <w:r w:rsidR="00A46E10" w:rsidRPr="00CA6E9F">
        <w:rPr>
          <w:rFonts w:ascii="Arial" w:hAnsi="Arial" w:cs="Arial"/>
          <w:i/>
          <w:sz w:val="20"/>
          <w:szCs w:val="20"/>
        </w:rPr>
        <w:t>Pozn.: nasazení/využití pořizované techniky a vybavení na polské i české straně (např. v důsledku odlišných technických norem, standardů apod.) nesmí být nijak omezeno</w:t>
      </w:r>
      <w:r w:rsidR="0091798D" w:rsidRPr="00CA6E9F">
        <w:rPr>
          <w:rFonts w:ascii="Arial" w:hAnsi="Arial" w:cs="Arial"/>
          <w:sz w:val="20"/>
          <w:szCs w:val="20"/>
        </w:rPr>
        <w:t xml:space="preserve"> </w:t>
      </w:r>
      <w:r w:rsidRPr="00CA6E9F">
        <w:rPr>
          <w:rFonts w:ascii="Arial" w:hAnsi="Arial" w:cs="Arial"/>
          <w:sz w:val="20"/>
          <w:szCs w:val="20"/>
        </w:rPr>
        <w:t xml:space="preserve">/ </w:t>
      </w:r>
    </w:p>
    <w:p w14:paraId="30FF4A9E" w14:textId="3F3C0D84" w:rsidR="00A572F9" w:rsidRPr="00CA6E9F" w:rsidRDefault="00B85906" w:rsidP="00CA6E9F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  <w:lang w:val="pl-PL"/>
        </w:rPr>
        <w:t>Czy wszystkie rozwiązania techniczne stosowane w nabytym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 specjalistycznym</w:t>
      </w:r>
      <w:r w:rsidRPr="00CA6E9F">
        <w:rPr>
          <w:rFonts w:ascii="Arial" w:hAnsi="Arial" w:cs="Arial"/>
          <w:sz w:val="20"/>
          <w:szCs w:val="20"/>
          <w:lang w:val="pl-PL"/>
        </w:rPr>
        <w:t xml:space="preserve"> sprzęcie i wyposażeniu zapewniają spełnienie norm i standardów pozwalających na jego wykorzystanie po drugiej stronie granicy?</w:t>
      </w:r>
      <w:r w:rsidR="00D87285" w:rsidRPr="00CA6E9F">
        <w:rPr>
          <w:rFonts w:ascii="Arial" w:hAnsi="Arial" w:cs="Arial"/>
          <w:sz w:val="20"/>
          <w:szCs w:val="20"/>
          <w:lang w:val="pl-PL"/>
        </w:rPr>
        <w:t xml:space="preserve">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 xml:space="preserve">Uwaga: </w:t>
      </w:r>
      <w:r w:rsidR="006231C3" w:rsidRPr="00CA6E9F">
        <w:rPr>
          <w:rFonts w:ascii="Arial" w:eastAsia="Times New Roman" w:hAnsi="Arial" w:cs="Arial"/>
          <w:i/>
          <w:iCs/>
          <w:sz w:val="20"/>
          <w:szCs w:val="20"/>
          <w:lang w:val="pl-PL" w:eastAsia="cs-CZ"/>
        </w:rPr>
        <w:t>zadysponowanie</w:t>
      </w:r>
      <w:r w:rsidR="006231C3" w:rsidRPr="00CA6E9F" w:rsidDel="000605A5">
        <w:rPr>
          <w:rFonts w:ascii="Arial" w:hAnsi="Arial" w:cs="Arial"/>
          <w:i/>
          <w:sz w:val="20"/>
          <w:szCs w:val="20"/>
          <w:lang w:val="pl-PL"/>
        </w:rPr>
        <w:t xml:space="preserve">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 xml:space="preserve">/wykorzystanie </w:t>
      </w:r>
      <w:r w:rsidR="00D44229" w:rsidRPr="00CA6E9F">
        <w:rPr>
          <w:rFonts w:ascii="Arial" w:hAnsi="Arial" w:cs="Arial"/>
          <w:i/>
          <w:sz w:val="20"/>
          <w:szCs w:val="20"/>
          <w:lang w:val="pl-PL"/>
        </w:rPr>
        <w:t xml:space="preserve">nabywanego sprzętu i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 xml:space="preserve"> wyposażenia po stronie polskiej i czeskiej (np. </w:t>
      </w:r>
      <w:r w:rsidR="00C361C8" w:rsidRPr="00CA6E9F">
        <w:rPr>
          <w:rFonts w:ascii="Arial" w:hAnsi="Arial" w:cs="Arial"/>
          <w:i/>
          <w:sz w:val="20"/>
          <w:szCs w:val="20"/>
          <w:lang w:val="pl-PL"/>
        </w:rPr>
        <w:t xml:space="preserve">w wyniku odmiennych </w:t>
      </w:r>
      <w:r w:rsidR="00B8210A" w:rsidRPr="00CA6E9F">
        <w:rPr>
          <w:rFonts w:ascii="Arial" w:hAnsi="Arial" w:cs="Arial"/>
          <w:i/>
          <w:sz w:val="20"/>
          <w:szCs w:val="20"/>
          <w:lang w:val="pl-PL"/>
        </w:rPr>
        <w:t>norm technicznych, standardów itp.) nie może być w żaden sposób ograniczone.</w:t>
      </w:r>
    </w:p>
    <w:p w14:paraId="2C2980F7" w14:textId="77777777" w:rsidR="00444868" w:rsidRPr="009C0074" w:rsidRDefault="00444868" w:rsidP="009C0074">
      <w:pPr>
        <w:pStyle w:val="Odstavecseseznamem"/>
        <w:spacing w:after="0" w:line="240" w:lineRule="auto"/>
        <w:ind w:left="360"/>
        <w:jc w:val="both"/>
        <w:rPr>
          <w:i/>
          <w:lang w:val="pl-PL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444868" w:rsidRPr="00CA6E9F" w14:paraId="6725E76E" w14:textId="77777777" w:rsidTr="004E1490">
        <w:trPr>
          <w:trHeight w:val="1187"/>
        </w:trPr>
        <w:tc>
          <w:tcPr>
            <w:tcW w:w="9212" w:type="dxa"/>
          </w:tcPr>
          <w:p w14:paraId="3C3C0F5B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1:</w:t>
            </w:r>
          </w:p>
        </w:tc>
      </w:tr>
      <w:tr w:rsidR="00444868" w:rsidRPr="00CA6E9F" w14:paraId="223FF8D1" w14:textId="77777777" w:rsidTr="004E1490">
        <w:trPr>
          <w:trHeight w:val="1187"/>
        </w:trPr>
        <w:tc>
          <w:tcPr>
            <w:tcW w:w="9212" w:type="dxa"/>
          </w:tcPr>
          <w:p w14:paraId="342C4AD7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2:</w:t>
            </w:r>
          </w:p>
        </w:tc>
      </w:tr>
      <w:tr w:rsidR="00444868" w:rsidRPr="00CA6E9F" w14:paraId="2C93A2C7" w14:textId="77777777" w:rsidTr="004E1490">
        <w:trPr>
          <w:trHeight w:val="1187"/>
        </w:trPr>
        <w:tc>
          <w:tcPr>
            <w:tcW w:w="9212" w:type="dxa"/>
          </w:tcPr>
          <w:p w14:paraId="0B39342F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3:</w:t>
            </w:r>
          </w:p>
        </w:tc>
      </w:tr>
      <w:tr w:rsidR="00444868" w:rsidRPr="00CA6E9F" w14:paraId="27C78441" w14:textId="77777777" w:rsidTr="004E1490">
        <w:trPr>
          <w:trHeight w:val="1187"/>
        </w:trPr>
        <w:tc>
          <w:tcPr>
            <w:tcW w:w="9212" w:type="dxa"/>
          </w:tcPr>
          <w:p w14:paraId="36D86C82" w14:textId="77777777" w:rsidR="00444868" w:rsidRPr="00CA6E9F" w:rsidRDefault="00444868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4:</w:t>
            </w:r>
          </w:p>
        </w:tc>
      </w:tr>
    </w:tbl>
    <w:p w14:paraId="2170E992" w14:textId="37436610" w:rsidR="00B85906" w:rsidRPr="00CA6E9F" w:rsidRDefault="00B85906" w:rsidP="009C0074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highlight w:val="yellow"/>
          <w:lang w:val="pl-PL"/>
        </w:rPr>
      </w:pPr>
    </w:p>
    <w:p w14:paraId="0326A61D" w14:textId="1622D4B8" w:rsidR="00D54205" w:rsidRPr="00CA6E9F" w:rsidRDefault="006947FD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Uveďte </w:t>
      </w:r>
      <w:r w:rsidR="00484B35" w:rsidRPr="00CA6E9F">
        <w:rPr>
          <w:rFonts w:ascii="Arial" w:hAnsi="Arial" w:cs="Arial"/>
          <w:sz w:val="20"/>
          <w:szCs w:val="20"/>
        </w:rPr>
        <w:t>právní</w:t>
      </w:r>
      <w:r w:rsidR="00C66A54" w:rsidRPr="00CA6E9F">
        <w:rPr>
          <w:rFonts w:ascii="Arial" w:hAnsi="Arial" w:cs="Arial"/>
          <w:sz w:val="20"/>
          <w:szCs w:val="20"/>
        </w:rPr>
        <w:t xml:space="preserve"> základ umožňující využití pořízené</w:t>
      </w:r>
      <w:r w:rsidR="00A46E10" w:rsidRPr="00CA6E9F">
        <w:rPr>
          <w:rFonts w:ascii="Arial" w:hAnsi="Arial" w:cs="Arial"/>
          <w:sz w:val="20"/>
          <w:szCs w:val="20"/>
        </w:rPr>
        <w:t xml:space="preserve">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="00A46E10" w:rsidRPr="00CA6E9F">
        <w:rPr>
          <w:rFonts w:ascii="Arial" w:hAnsi="Arial" w:cs="Arial"/>
          <w:sz w:val="20"/>
          <w:szCs w:val="20"/>
        </w:rPr>
        <w:t>techniky a</w:t>
      </w:r>
      <w:r w:rsidR="00C66A54" w:rsidRPr="00CA6E9F">
        <w:rPr>
          <w:rFonts w:ascii="Arial" w:hAnsi="Arial" w:cs="Arial"/>
          <w:sz w:val="20"/>
          <w:szCs w:val="20"/>
        </w:rPr>
        <w:t xml:space="preserve"> vybavení na druhé straně hranice /</w:t>
      </w:r>
      <w:r w:rsidR="0091798D" w:rsidRPr="00CA6E9F">
        <w:rPr>
          <w:rFonts w:ascii="Arial" w:hAnsi="Arial" w:cs="Arial"/>
          <w:sz w:val="20"/>
          <w:szCs w:val="20"/>
        </w:rPr>
        <w:t xml:space="preserve"> </w:t>
      </w:r>
      <w:r w:rsidR="00D54205" w:rsidRPr="00CA6E9F">
        <w:rPr>
          <w:rFonts w:ascii="Arial" w:hAnsi="Arial" w:cs="Arial"/>
          <w:sz w:val="20"/>
          <w:szCs w:val="20"/>
          <w:lang w:val="pl-PL"/>
        </w:rPr>
        <w:t xml:space="preserve">Prosimy wymienić istniejące </w:t>
      </w:r>
      <w:r w:rsidR="00CD6B75" w:rsidRPr="00CA6E9F">
        <w:rPr>
          <w:rFonts w:ascii="Arial" w:hAnsi="Arial" w:cs="Arial"/>
          <w:sz w:val="20"/>
          <w:szCs w:val="20"/>
          <w:lang w:val="pl-PL"/>
        </w:rPr>
        <w:t>podstawy prawne umożliwiające</w:t>
      </w:r>
      <w:r w:rsidR="00D54205" w:rsidRPr="00CA6E9F">
        <w:rPr>
          <w:rFonts w:ascii="Arial" w:hAnsi="Arial" w:cs="Arial"/>
          <w:sz w:val="20"/>
          <w:szCs w:val="20"/>
          <w:lang w:val="pl-PL"/>
        </w:rPr>
        <w:t xml:space="preserve"> wykorzystanie nabytego 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specjalistycznego </w:t>
      </w:r>
      <w:r w:rsidR="00D54205" w:rsidRPr="00CA6E9F">
        <w:rPr>
          <w:rFonts w:ascii="Arial" w:hAnsi="Arial" w:cs="Arial"/>
          <w:sz w:val="20"/>
          <w:szCs w:val="20"/>
          <w:lang w:val="pl-PL"/>
        </w:rPr>
        <w:t>sprzętu i wyposażenia po drugiej stronie</w:t>
      </w:r>
      <w:r w:rsidR="00B85906" w:rsidRPr="00CA6E9F">
        <w:rPr>
          <w:rFonts w:ascii="Arial" w:hAnsi="Arial" w:cs="Arial"/>
          <w:sz w:val="20"/>
          <w:szCs w:val="20"/>
          <w:lang w:val="pl-PL"/>
        </w:rPr>
        <w:t xml:space="preserve"> granicy</w:t>
      </w:r>
      <w:r w:rsidR="0091798D" w:rsidRPr="00CA6E9F">
        <w:rPr>
          <w:rFonts w:ascii="Arial" w:hAnsi="Arial" w:cs="Arial"/>
          <w:sz w:val="20"/>
          <w:szCs w:val="20"/>
          <w:lang w:val="pl-PL"/>
        </w:rPr>
        <w:t>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53829B8C" w14:textId="77777777" w:rsidTr="00B85906">
        <w:trPr>
          <w:trHeight w:val="1182"/>
        </w:trPr>
        <w:tc>
          <w:tcPr>
            <w:tcW w:w="9212" w:type="dxa"/>
          </w:tcPr>
          <w:p w14:paraId="7CBF573C" w14:textId="77777777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54963947" w14:textId="77777777" w:rsidR="00B85906" w:rsidRPr="00CA6E9F" w:rsidRDefault="00B85906" w:rsidP="009C0074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2203675" w14:textId="7FCC4FDD" w:rsidR="00D54205" w:rsidRPr="00CA6E9F" w:rsidRDefault="00C66A54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Existují právní překážky, které </w:t>
      </w:r>
      <w:r w:rsidR="006947FD" w:rsidRPr="00CA6E9F">
        <w:rPr>
          <w:rFonts w:ascii="Arial" w:hAnsi="Arial" w:cs="Arial"/>
          <w:sz w:val="20"/>
          <w:szCs w:val="20"/>
        </w:rPr>
        <w:t xml:space="preserve">znemožňují, </w:t>
      </w:r>
      <w:r w:rsidRPr="00CA6E9F">
        <w:rPr>
          <w:rFonts w:ascii="Arial" w:hAnsi="Arial" w:cs="Arial"/>
          <w:sz w:val="20"/>
          <w:szCs w:val="20"/>
        </w:rPr>
        <w:t xml:space="preserve">znesnadňují nebo omezují využití pořízené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Pr="00CA6E9F">
        <w:rPr>
          <w:rFonts w:ascii="Arial" w:hAnsi="Arial" w:cs="Arial"/>
          <w:sz w:val="20"/>
          <w:szCs w:val="20"/>
        </w:rPr>
        <w:t xml:space="preserve">techniky </w:t>
      </w:r>
      <w:r w:rsidR="00A46E10" w:rsidRPr="00CA6E9F">
        <w:rPr>
          <w:rFonts w:ascii="Arial" w:hAnsi="Arial" w:cs="Arial"/>
          <w:sz w:val="20"/>
          <w:szCs w:val="20"/>
        </w:rPr>
        <w:t xml:space="preserve">a vybavení </w:t>
      </w:r>
      <w:r w:rsidRPr="00CA6E9F">
        <w:rPr>
          <w:rFonts w:ascii="Arial" w:hAnsi="Arial" w:cs="Arial"/>
          <w:sz w:val="20"/>
          <w:szCs w:val="20"/>
        </w:rPr>
        <w:t xml:space="preserve">po obou stranách hranice? Pokud ano, prosíme o jejich uvedení. </w:t>
      </w:r>
      <w:proofErr w:type="gramStart"/>
      <w:r w:rsidRPr="00CA6E9F">
        <w:rPr>
          <w:rFonts w:ascii="Arial" w:hAnsi="Arial" w:cs="Arial"/>
          <w:sz w:val="20"/>
          <w:szCs w:val="20"/>
        </w:rPr>
        <w:t xml:space="preserve">/  </w:t>
      </w:r>
      <w:r w:rsidR="00D54205" w:rsidRPr="00CA6E9F">
        <w:rPr>
          <w:rFonts w:ascii="Arial" w:hAnsi="Arial" w:cs="Arial"/>
          <w:sz w:val="20"/>
          <w:szCs w:val="20"/>
          <w:lang w:val="pl-PL"/>
        </w:rPr>
        <w:t>Czy</w:t>
      </w:r>
      <w:proofErr w:type="gramEnd"/>
      <w:r w:rsidR="00D54205" w:rsidRPr="00CA6E9F">
        <w:rPr>
          <w:rFonts w:ascii="Arial" w:hAnsi="Arial" w:cs="Arial"/>
          <w:sz w:val="20"/>
          <w:szCs w:val="20"/>
          <w:lang w:val="pl-PL"/>
        </w:rPr>
        <w:t xml:space="preserve"> istnieją przeszkody prawne uniemożliwiające, utrudniające lub ograniczające wykorzystanie nabytego 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specjalistycznego </w:t>
      </w:r>
      <w:r w:rsidR="00D54205" w:rsidRPr="00CA6E9F">
        <w:rPr>
          <w:rFonts w:ascii="Arial" w:hAnsi="Arial" w:cs="Arial"/>
          <w:sz w:val="20"/>
          <w:szCs w:val="20"/>
          <w:lang w:val="pl-PL"/>
        </w:rPr>
        <w:t>sprzętu i wyposażenia po obu stronach granicy? Jeżeli tak, prosimy je wymienić.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4F63007E" w14:textId="77777777" w:rsidTr="00B85906">
        <w:trPr>
          <w:trHeight w:val="1171"/>
        </w:trPr>
        <w:tc>
          <w:tcPr>
            <w:tcW w:w="9212" w:type="dxa"/>
          </w:tcPr>
          <w:p w14:paraId="48D5DBED" w14:textId="77777777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416C31B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1847BAC7" w14:textId="795C9BA2" w:rsidR="00181E76" w:rsidRPr="00CA6E9F" w:rsidRDefault="00C66A54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lastRenderedPageBreak/>
        <w:t xml:space="preserve">Prosíme o </w:t>
      </w:r>
      <w:r w:rsidR="006947FD" w:rsidRPr="00CA6E9F">
        <w:rPr>
          <w:rFonts w:ascii="Arial" w:hAnsi="Arial" w:cs="Arial"/>
          <w:sz w:val="20"/>
          <w:szCs w:val="20"/>
        </w:rPr>
        <w:t>zdůvodnění potřebnosti</w:t>
      </w:r>
      <w:r w:rsidR="004A61F7" w:rsidRPr="00CA6E9F">
        <w:rPr>
          <w:rFonts w:ascii="Arial" w:hAnsi="Arial" w:cs="Arial"/>
          <w:sz w:val="20"/>
          <w:szCs w:val="20"/>
        </w:rPr>
        <w:t xml:space="preserve"> pořízení </w:t>
      </w:r>
      <w:r w:rsidR="00DE0365" w:rsidRPr="00CA6E9F">
        <w:rPr>
          <w:rFonts w:ascii="Arial" w:hAnsi="Arial" w:cs="Arial"/>
          <w:sz w:val="20"/>
          <w:szCs w:val="20"/>
        </w:rPr>
        <w:t xml:space="preserve">speciální </w:t>
      </w:r>
      <w:r w:rsidR="00A46E10" w:rsidRPr="00CA6E9F">
        <w:rPr>
          <w:rFonts w:ascii="Arial" w:hAnsi="Arial" w:cs="Arial"/>
          <w:sz w:val="20"/>
          <w:szCs w:val="20"/>
        </w:rPr>
        <w:t xml:space="preserve">techniky a </w:t>
      </w:r>
      <w:r w:rsidR="004A61F7" w:rsidRPr="00CA6E9F">
        <w:rPr>
          <w:rFonts w:ascii="Arial" w:hAnsi="Arial" w:cs="Arial"/>
          <w:sz w:val="20"/>
          <w:szCs w:val="20"/>
        </w:rPr>
        <w:t>vybavení</w:t>
      </w:r>
      <w:r w:rsidR="00484B35" w:rsidRPr="00CA6E9F">
        <w:rPr>
          <w:rFonts w:ascii="Arial" w:hAnsi="Arial" w:cs="Arial"/>
          <w:sz w:val="20"/>
          <w:szCs w:val="20"/>
        </w:rPr>
        <w:t xml:space="preserve"> </w:t>
      </w:r>
      <w:r w:rsidR="004A61F7" w:rsidRPr="00CA6E9F">
        <w:rPr>
          <w:rFonts w:ascii="Arial" w:hAnsi="Arial" w:cs="Arial"/>
          <w:sz w:val="20"/>
          <w:szCs w:val="20"/>
        </w:rPr>
        <w:t xml:space="preserve">/ </w:t>
      </w:r>
      <w:r w:rsidR="000F3751" w:rsidRPr="00CA6E9F">
        <w:rPr>
          <w:rFonts w:ascii="Arial" w:hAnsi="Arial" w:cs="Arial"/>
          <w:sz w:val="20"/>
          <w:szCs w:val="20"/>
          <w:lang w:val="pl-PL"/>
        </w:rPr>
        <w:t xml:space="preserve">Prosimy </w:t>
      </w:r>
      <w:r w:rsidR="00AB0771" w:rsidRPr="00CA6E9F">
        <w:rPr>
          <w:rFonts w:ascii="Arial" w:hAnsi="Arial" w:cs="Arial"/>
          <w:sz w:val="20"/>
          <w:szCs w:val="20"/>
          <w:lang w:val="pl-PL"/>
        </w:rPr>
        <w:t>o uzasadnienie niezbędności nabycia</w:t>
      </w:r>
      <w:r w:rsidR="00B85906" w:rsidRPr="00CA6E9F">
        <w:rPr>
          <w:rFonts w:ascii="Arial" w:hAnsi="Arial" w:cs="Arial"/>
          <w:sz w:val="20"/>
          <w:szCs w:val="20"/>
          <w:lang w:val="pl-PL"/>
        </w:rPr>
        <w:t xml:space="preserve"> </w:t>
      </w:r>
      <w:r w:rsidR="00DE0365" w:rsidRPr="00CA6E9F">
        <w:rPr>
          <w:rFonts w:ascii="Arial" w:hAnsi="Arial" w:cs="Arial"/>
          <w:sz w:val="20"/>
          <w:szCs w:val="20"/>
          <w:lang w:val="pl-PL"/>
        </w:rPr>
        <w:t xml:space="preserve">specjalistycznego </w:t>
      </w:r>
      <w:r w:rsidR="00B85906" w:rsidRPr="00CA6E9F">
        <w:rPr>
          <w:rFonts w:ascii="Arial" w:hAnsi="Arial" w:cs="Arial"/>
          <w:sz w:val="20"/>
          <w:szCs w:val="20"/>
          <w:lang w:val="pl-PL"/>
        </w:rPr>
        <w:t>sprzętu i wyposaż</w:t>
      </w:r>
      <w:r w:rsidR="000F3751" w:rsidRPr="00CA6E9F">
        <w:rPr>
          <w:rFonts w:ascii="Arial" w:hAnsi="Arial" w:cs="Arial"/>
          <w:sz w:val="20"/>
          <w:szCs w:val="20"/>
          <w:lang w:val="pl-PL"/>
        </w:rPr>
        <w:t>enia</w:t>
      </w:r>
      <w:r w:rsidR="00181E76" w:rsidRPr="00CA6E9F">
        <w:rPr>
          <w:rFonts w:ascii="Arial" w:hAnsi="Arial" w:cs="Arial"/>
          <w:sz w:val="20"/>
          <w:szCs w:val="20"/>
          <w:lang w:val="pl-PL"/>
        </w:rPr>
        <w:t>?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1567E1F2" w14:textId="77777777" w:rsidTr="00B85906">
        <w:trPr>
          <w:trHeight w:val="1187"/>
        </w:trPr>
        <w:tc>
          <w:tcPr>
            <w:tcW w:w="9212" w:type="dxa"/>
          </w:tcPr>
          <w:p w14:paraId="12D52136" w14:textId="4E82510F" w:rsidR="00B85906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1:</w:t>
            </w:r>
          </w:p>
        </w:tc>
      </w:tr>
      <w:tr w:rsidR="0091798D" w:rsidRPr="00CA6E9F" w14:paraId="7A8D8902" w14:textId="77777777" w:rsidTr="00B85906">
        <w:trPr>
          <w:trHeight w:val="1187"/>
        </w:trPr>
        <w:tc>
          <w:tcPr>
            <w:tcW w:w="9212" w:type="dxa"/>
          </w:tcPr>
          <w:p w14:paraId="42420A2F" w14:textId="345C0829" w:rsidR="0091798D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2:</w:t>
            </w:r>
          </w:p>
        </w:tc>
      </w:tr>
      <w:tr w:rsidR="0091798D" w:rsidRPr="00CA6E9F" w14:paraId="250BDC18" w14:textId="77777777" w:rsidTr="00B85906">
        <w:trPr>
          <w:trHeight w:val="1187"/>
        </w:trPr>
        <w:tc>
          <w:tcPr>
            <w:tcW w:w="9212" w:type="dxa"/>
          </w:tcPr>
          <w:p w14:paraId="488EB03C" w14:textId="3BAA8B82" w:rsidR="0091798D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3:</w:t>
            </w:r>
          </w:p>
        </w:tc>
      </w:tr>
      <w:tr w:rsidR="0091798D" w:rsidRPr="00CA6E9F" w14:paraId="771A0123" w14:textId="77777777" w:rsidTr="00B85906">
        <w:trPr>
          <w:trHeight w:val="1187"/>
        </w:trPr>
        <w:tc>
          <w:tcPr>
            <w:tcW w:w="9212" w:type="dxa"/>
          </w:tcPr>
          <w:p w14:paraId="592B8F01" w14:textId="38FDE155" w:rsidR="0091798D" w:rsidRPr="00CA6E9F" w:rsidRDefault="0091798D" w:rsidP="009C0074">
            <w:pPr>
              <w:pStyle w:val="Odstavecseseznamem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CA6E9F">
              <w:rPr>
                <w:rFonts w:ascii="Arial" w:hAnsi="Arial" w:cs="Arial"/>
                <w:i/>
                <w:sz w:val="20"/>
                <w:szCs w:val="20"/>
                <w:lang w:val="pl-PL"/>
              </w:rPr>
              <w:t>Partner 4:</w:t>
            </w:r>
          </w:p>
        </w:tc>
      </w:tr>
    </w:tbl>
    <w:p w14:paraId="4D53C5C6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21D71400" w14:textId="5AC336DF" w:rsidR="00181E76" w:rsidRPr="00CA6E9F" w:rsidRDefault="00427ACA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Prosíme o </w:t>
      </w:r>
      <w:r w:rsidR="00DE0365" w:rsidRPr="00CA6E9F">
        <w:rPr>
          <w:rFonts w:ascii="Arial" w:hAnsi="Arial" w:cs="Arial"/>
          <w:sz w:val="20"/>
          <w:szCs w:val="20"/>
        </w:rPr>
        <w:t>zdůvodnění</w:t>
      </w:r>
      <w:r w:rsidRPr="00CA6E9F">
        <w:rPr>
          <w:rFonts w:ascii="Arial" w:hAnsi="Arial" w:cs="Arial"/>
          <w:sz w:val="20"/>
          <w:szCs w:val="20"/>
        </w:rPr>
        <w:t>,</w:t>
      </w:r>
      <w:r w:rsidR="008A44A1" w:rsidRPr="00CA6E9F">
        <w:rPr>
          <w:rFonts w:ascii="Arial" w:hAnsi="Arial" w:cs="Arial"/>
          <w:sz w:val="20"/>
          <w:szCs w:val="20"/>
        </w:rPr>
        <w:t xml:space="preserve"> proč je</w:t>
      </w:r>
      <w:r w:rsidRPr="00CA6E9F">
        <w:rPr>
          <w:rFonts w:ascii="Arial" w:hAnsi="Arial" w:cs="Arial"/>
          <w:sz w:val="20"/>
          <w:szCs w:val="20"/>
        </w:rPr>
        <w:t xml:space="preserve"> </w:t>
      </w:r>
      <w:r w:rsidR="008A44A1" w:rsidRPr="00CA6E9F">
        <w:rPr>
          <w:rFonts w:ascii="Arial" w:hAnsi="Arial" w:cs="Arial"/>
          <w:sz w:val="20"/>
          <w:szCs w:val="20"/>
        </w:rPr>
        <w:t xml:space="preserve">pořizovaná technika nebo vybavení nezbytné pro prevenci a odstraňování následků rizik, spojených se změnami klimatu. </w:t>
      </w:r>
      <w:r w:rsidRPr="00CA6E9F">
        <w:rPr>
          <w:rFonts w:ascii="Arial" w:hAnsi="Arial" w:cs="Arial"/>
          <w:sz w:val="20"/>
          <w:szCs w:val="20"/>
        </w:rPr>
        <w:t>/</w:t>
      </w:r>
      <w:r w:rsidR="00B352B3" w:rsidRPr="00CA6E9F">
        <w:rPr>
          <w:rFonts w:ascii="Arial" w:hAnsi="Arial" w:cs="Arial"/>
          <w:sz w:val="20"/>
          <w:szCs w:val="20"/>
        </w:rPr>
        <w:t xml:space="preserve">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Prosimy wymienić, </w:t>
      </w:r>
      <w:r w:rsidR="008A44A1" w:rsidRPr="00CA6E9F">
        <w:rPr>
          <w:rFonts w:ascii="Arial" w:hAnsi="Arial" w:cs="Arial"/>
          <w:sz w:val="20"/>
          <w:szCs w:val="20"/>
          <w:lang w:val="pl-PL"/>
        </w:rPr>
        <w:t>dlaczego kupowan</w:t>
      </w:r>
      <w:r w:rsidR="00F32798" w:rsidRPr="00CA6E9F">
        <w:rPr>
          <w:rFonts w:ascii="Arial" w:hAnsi="Arial" w:cs="Arial"/>
          <w:sz w:val="20"/>
          <w:szCs w:val="20"/>
          <w:lang w:val="pl-PL"/>
        </w:rPr>
        <w:t>y</w:t>
      </w:r>
      <w:r w:rsidR="00364973" w:rsidRPr="00CA6E9F">
        <w:rPr>
          <w:rFonts w:ascii="Arial" w:hAnsi="Arial" w:cs="Arial"/>
          <w:sz w:val="20"/>
          <w:szCs w:val="20"/>
          <w:lang w:val="pl-PL"/>
        </w:rPr>
        <w:t xml:space="preserve"> </w:t>
      </w:r>
      <w:r w:rsidR="008A44A1" w:rsidRPr="00CA6E9F">
        <w:rPr>
          <w:rFonts w:ascii="Arial" w:hAnsi="Arial" w:cs="Arial"/>
          <w:sz w:val="20"/>
          <w:szCs w:val="20"/>
          <w:lang w:val="pl-PL"/>
        </w:rPr>
        <w:t xml:space="preserve">sprzęt </w:t>
      </w:r>
      <w:r w:rsidR="00F32798" w:rsidRPr="00CA6E9F">
        <w:rPr>
          <w:rFonts w:ascii="Arial" w:hAnsi="Arial" w:cs="Arial"/>
          <w:sz w:val="20"/>
          <w:szCs w:val="20"/>
          <w:lang w:val="pl-PL"/>
        </w:rPr>
        <w:t xml:space="preserve">lub wyposażenie </w:t>
      </w:r>
      <w:r w:rsidR="008A44A1" w:rsidRPr="00CA6E9F">
        <w:rPr>
          <w:rFonts w:ascii="Arial" w:hAnsi="Arial" w:cs="Arial"/>
          <w:sz w:val="20"/>
          <w:szCs w:val="20"/>
          <w:lang w:val="pl-PL"/>
        </w:rPr>
        <w:t>są niezbędne do zapobiegania i eliminowania skutków zagrożeń związanych ze zmianami klimatu.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19529099" w14:textId="77777777" w:rsidTr="00B85906">
        <w:trPr>
          <w:trHeight w:val="1172"/>
        </w:trPr>
        <w:tc>
          <w:tcPr>
            <w:tcW w:w="9212" w:type="dxa"/>
          </w:tcPr>
          <w:p w14:paraId="5326FA06" w14:textId="77777777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F81FDF3" w14:textId="77777777" w:rsidR="00B85906" w:rsidRPr="00CA6E9F" w:rsidRDefault="00B85906" w:rsidP="009C0074">
      <w:pPr>
        <w:pStyle w:val="Odstavecseseznamem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8F807E1" w14:textId="155AB7CB" w:rsidR="00D54205" w:rsidRPr="00CA6E9F" w:rsidRDefault="00427ACA" w:rsidP="009C0074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A6E9F">
        <w:rPr>
          <w:rFonts w:ascii="Arial" w:hAnsi="Arial" w:cs="Arial"/>
          <w:sz w:val="20"/>
          <w:szCs w:val="20"/>
        </w:rPr>
        <w:t xml:space="preserve">Jaké byly dosavadní překážky </w:t>
      </w:r>
      <w:r w:rsidR="008C5DEB" w:rsidRPr="00CA6E9F">
        <w:rPr>
          <w:rFonts w:ascii="Arial" w:hAnsi="Arial" w:cs="Arial"/>
          <w:sz w:val="20"/>
          <w:szCs w:val="20"/>
        </w:rPr>
        <w:t xml:space="preserve">(územní, právní, nekompatibilita techniky, chybějící souhlasy či certifikace) </w:t>
      </w:r>
      <w:r w:rsidRPr="00CA6E9F">
        <w:rPr>
          <w:rFonts w:ascii="Arial" w:hAnsi="Arial" w:cs="Arial"/>
          <w:sz w:val="20"/>
          <w:szCs w:val="20"/>
        </w:rPr>
        <w:t>pro realizaci těchto aktivit</w:t>
      </w:r>
      <w:r w:rsidR="006947FD" w:rsidRPr="00CA6E9F">
        <w:rPr>
          <w:rFonts w:ascii="Arial" w:hAnsi="Arial" w:cs="Arial"/>
          <w:sz w:val="20"/>
          <w:szCs w:val="20"/>
        </w:rPr>
        <w:t xml:space="preserve"> a jakým způsobem </w:t>
      </w:r>
      <w:r w:rsidR="00484B35" w:rsidRPr="00CA6E9F">
        <w:rPr>
          <w:rFonts w:ascii="Arial" w:hAnsi="Arial" w:cs="Arial"/>
          <w:sz w:val="20"/>
          <w:szCs w:val="20"/>
        </w:rPr>
        <w:t xml:space="preserve">umožní </w:t>
      </w:r>
      <w:r w:rsidR="006947FD" w:rsidRPr="00CA6E9F">
        <w:rPr>
          <w:rFonts w:ascii="Arial" w:hAnsi="Arial" w:cs="Arial"/>
          <w:sz w:val="20"/>
          <w:szCs w:val="20"/>
        </w:rPr>
        <w:t>pořízení techniky a vybavení odstranění těchto překážek</w:t>
      </w:r>
      <w:r w:rsidRPr="00CA6E9F">
        <w:rPr>
          <w:rFonts w:ascii="Arial" w:hAnsi="Arial" w:cs="Arial"/>
          <w:sz w:val="20"/>
          <w:szCs w:val="20"/>
        </w:rPr>
        <w:t>?</w:t>
      </w:r>
      <w:r w:rsidR="0091798D" w:rsidRPr="00CA6E9F">
        <w:rPr>
          <w:rFonts w:ascii="Arial" w:hAnsi="Arial" w:cs="Arial"/>
          <w:sz w:val="20"/>
          <w:szCs w:val="20"/>
        </w:rPr>
        <w:t xml:space="preserve"> </w:t>
      </w:r>
      <w:r w:rsidRPr="00CA6E9F">
        <w:rPr>
          <w:rFonts w:ascii="Arial" w:hAnsi="Arial" w:cs="Arial"/>
          <w:sz w:val="20"/>
          <w:szCs w:val="20"/>
        </w:rPr>
        <w:t xml:space="preserve">/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Jakie były </w:t>
      </w:r>
      <w:r w:rsidR="00367303" w:rsidRPr="00CA6E9F">
        <w:rPr>
          <w:rFonts w:ascii="Arial" w:hAnsi="Arial" w:cs="Arial"/>
          <w:sz w:val="20"/>
          <w:szCs w:val="20"/>
          <w:lang w:val="pl-PL"/>
        </w:rPr>
        <w:t xml:space="preserve">dotychczasowe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przeszkody </w:t>
      </w:r>
      <w:r w:rsidR="00444868" w:rsidRPr="00CA6E9F">
        <w:rPr>
          <w:rFonts w:ascii="Arial" w:hAnsi="Arial" w:cs="Arial"/>
          <w:sz w:val="20"/>
          <w:szCs w:val="20"/>
          <w:lang w:val="pl-PL"/>
        </w:rPr>
        <w:t xml:space="preserve">(przestrzenne, prawne, niekompatybilność sprzętu, brak zgód czy certyfikatów itp.) </w:t>
      </w:r>
      <w:r w:rsidR="00181E76" w:rsidRPr="00CA6E9F">
        <w:rPr>
          <w:rFonts w:ascii="Arial" w:hAnsi="Arial" w:cs="Arial"/>
          <w:sz w:val="20"/>
          <w:szCs w:val="20"/>
          <w:lang w:val="pl-PL"/>
        </w:rPr>
        <w:t xml:space="preserve">w </w:t>
      </w:r>
      <w:r w:rsidR="00367303" w:rsidRPr="00CA6E9F">
        <w:rPr>
          <w:rFonts w:ascii="Arial" w:hAnsi="Arial" w:cs="Arial"/>
          <w:sz w:val="20"/>
          <w:szCs w:val="20"/>
          <w:lang w:val="pl-PL"/>
        </w:rPr>
        <w:t>realizacji przedmiotowych działań a w jaki sposób nabycie sprzętu i wyposażenia umożliwi usunięcie tych przeszkód</w:t>
      </w:r>
      <w:r w:rsidR="00181E76" w:rsidRPr="00CA6E9F">
        <w:rPr>
          <w:rFonts w:ascii="Arial" w:hAnsi="Arial" w:cs="Arial"/>
          <w:sz w:val="20"/>
          <w:szCs w:val="20"/>
          <w:lang w:val="pl-PL"/>
        </w:rPr>
        <w:t>?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B85906" w:rsidRPr="00CA6E9F" w14:paraId="42AD8BC5" w14:textId="77777777" w:rsidTr="00B85906">
        <w:trPr>
          <w:trHeight w:val="1073"/>
        </w:trPr>
        <w:tc>
          <w:tcPr>
            <w:tcW w:w="9212" w:type="dxa"/>
          </w:tcPr>
          <w:p w14:paraId="2E5309D9" w14:textId="4BDF2E54" w:rsidR="00B85906" w:rsidRPr="00CA6E9F" w:rsidRDefault="00B85906" w:rsidP="009C0074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6D7D86A" w14:textId="77777777" w:rsidR="00B85906" w:rsidRPr="00760B02" w:rsidRDefault="00B85906" w:rsidP="009C0074">
      <w:pPr>
        <w:pStyle w:val="Odstavecseseznamem"/>
        <w:spacing w:after="0" w:line="240" w:lineRule="auto"/>
        <w:ind w:left="360"/>
        <w:jc w:val="both"/>
        <w:rPr>
          <w:lang w:val="pl-PL"/>
        </w:rPr>
      </w:pPr>
    </w:p>
    <w:p w14:paraId="24866BDA" w14:textId="5C57F578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Poznámka: 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>Pro aktivity v rámci Priorit</w:t>
      </w:r>
      <w:r w:rsidR="0031447D" w:rsidRPr="00CA6E9F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 xml:space="preserve"> 1 byla stanovena zvláštní pravidla způsobilosti aktivit souvisejících s nákupem a využitím techniky a vybavení. </w:t>
      </w:r>
    </w:p>
    <w:p w14:paraId="53E454D3" w14:textId="77777777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U projektů týkajících se nákupu techniky a vybavení je nutné zdůvodnit možnosti a potřeby přeshraničního využití.</w:t>
      </w:r>
    </w:p>
    <w:p w14:paraId="7996F931" w14:textId="77777777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Podpořeny budou pouze takové projekty, u nichž bude prokazatelně zajištěno splnění předpokladů:</w:t>
      </w:r>
    </w:p>
    <w:p w14:paraId="2FE2C523" w14:textId="63E991FD" w:rsidR="00BF1EEC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CA6E9F">
        <w:rPr>
          <w:rFonts w:ascii="Arial" w:hAnsi="Arial" w:cs="Arial"/>
          <w:sz w:val="20"/>
          <w:szCs w:val="20"/>
        </w:rPr>
        <w:t>technických: splňuje takové technické normy, aby nebylo jakkoli omezeno nasazení/využití pořizované techniky a vybavení na polské i české straně (např. v důsledku odlišných technických norem, standardů apod.),</w:t>
      </w:r>
    </w:p>
    <w:p w14:paraId="29B19EC4" w14:textId="12927F23" w:rsidR="00BF1EEC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právních: existence právního základu pro společný zásah či využití – obecné či bilaterální normy, úmluvy apod.</w:t>
      </w:r>
    </w:p>
    <w:p w14:paraId="1E2490E2" w14:textId="77777777" w:rsidR="00BF1EEC" w:rsidRPr="00CA6E9F" w:rsidRDefault="00BF1EEC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a současně:</w:t>
      </w:r>
    </w:p>
    <w:p w14:paraId="7BD6F31B" w14:textId="77777777" w:rsidR="00BF1EEC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lastRenderedPageBreak/>
        <w:t>bude prokázána potřeba pořízení chybějící techniky a/nebo vybavení (tj. stejná či obdobná technika a/nebo vybavení v dotčeném území neexistuje či existuje v nedostatečném množství nebo prokazatelně neodpovídá svými vlastnostmi objektivním potřebám). Základem pro rozhodnutí o potřebě pořízení techniky bude analýza zpracovaná Řídícím orgánem ve spolupráci s Národním orgánem;</w:t>
      </w:r>
    </w:p>
    <w:p w14:paraId="7464A4B3" w14:textId="77777777" w:rsidR="00480378" w:rsidRPr="00CA6E9F" w:rsidRDefault="00BF1EEC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existuje odůvodněná potřeba přeshraničního využití pořízené techniky a /nebo vybavení.</w:t>
      </w:r>
    </w:p>
    <w:p w14:paraId="123E9D29" w14:textId="52FC3310" w:rsidR="00480378" w:rsidRPr="00CA6E9F" w:rsidRDefault="00480378" w:rsidP="00CA6E9F">
      <w:p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A6E9F">
        <w:rPr>
          <w:rFonts w:ascii="Arial" w:eastAsia="Times New Roman" w:hAnsi="Arial" w:cs="Arial"/>
          <w:sz w:val="20"/>
          <w:szCs w:val="20"/>
          <w:lang w:eastAsia="cs-CZ"/>
        </w:rPr>
        <w:t>V rámci projektu jsou pořizována pouze vozidla s nejlepší dostupnou technologií v dané kategorii vozidel dle emisí CO</w:t>
      </w:r>
      <w:r w:rsidRPr="00CA6E9F">
        <w:rPr>
          <w:rFonts w:ascii="Arial" w:eastAsia="Times New Roman" w:hAnsi="Arial" w:cs="Arial"/>
          <w:sz w:val="20"/>
          <w:szCs w:val="20"/>
          <w:vertAlign w:val="subscript"/>
          <w:lang w:eastAsia="cs-CZ"/>
        </w:rPr>
        <w:t>2</w:t>
      </w:r>
      <w:r w:rsidRPr="00CA6E9F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FCC4BF4" w14:textId="0A97468E" w:rsidR="00CD6B75" w:rsidRPr="00CA6E9F" w:rsidRDefault="00CD6B75" w:rsidP="009C0074">
      <w:pPr>
        <w:spacing w:after="0" w:line="240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14:paraId="3DAF9EDF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b/>
          <w:noProof/>
          <w:sz w:val="20"/>
          <w:szCs w:val="20"/>
          <w:lang w:val="pl-PL" w:eastAsia="cs-CZ"/>
        </w:rPr>
        <w:t xml:space="preserve">Uwaga: </w:t>
      </w: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 xml:space="preserve">Dla działań w ramach Priorytetu 1 określono specyficzne zasady kwalifikowalności działań związanych z zakupem i wykorzystaniem sprzętu i wyposażenia. </w:t>
      </w:r>
    </w:p>
    <w:p w14:paraId="156E9367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noProof/>
          <w:sz w:val="20"/>
          <w:szCs w:val="20"/>
          <w:lang w:val="pl-PL" w:eastAsia="cs-CZ"/>
        </w:rPr>
        <w:t>W projektach dot. zakupu sprzętu i wyposażenia konieczne jest uzasadnienie możliwości i potrzeby transgranicznego wykorzystania</w:t>
      </w:r>
    </w:p>
    <w:p w14:paraId="4E198758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Dofinansowane będą tylko takie projekty, w przypadku których zostanie w sposób jednoznaczny zapewnione, że spełniają wymogi:</w:t>
      </w:r>
    </w:p>
    <w:p w14:paraId="446A2C43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techniczne: spełnia takie normy techniczne, aby w żaden sposób nie było ograniczone zadysponowanie/wykorzystanie nabywanego sprzętu i wyposażenia po stronie polskiej i czeskiej (np. w wyniku odmiennych norm technicznych, standardów itp.),</w:t>
      </w:r>
    </w:p>
    <w:p w14:paraId="3830D265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prawne: istnienie podstaw prawnych dla wspólnych działań lub wykorzystania – ogólne lub bilateralne normy, konwencje itp.</w:t>
      </w:r>
    </w:p>
    <w:p w14:paraId="44042E2E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 zarazem, w których będzie:</w:t>
      </w:r>
    </w:p>
    <w:p w14:paraId="6F6C6B1B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wykazana potrzeba nabycia brakującego sprzętu i/lub wyposażenia (tj. na danym obszarze nie ma takiego samego lub podobnego sprzętu i/lub wyposażenia w wystarczającej ilości lub jego cechy nie są, w sposób możliwy do wykazania, adekwatne do obiektywnych potrzeb). Podstawą podejmowania decyzji w sprawie potrzeby nabycia sprzętu będzie analiza opracowana przez Instytucję Zarządzającą we współpracy z Instytucją Krajową;</w:t>
      </w:r>
    </w:p>
    <w:p w14:paraId="2D55E731" w14:textId="77777777" w:rsidR="00122238" w:rsidRPr="00CA6E9F" w:rsidRDefault="00122238" w:rsidP="00CA6E9F">
      <w:pPr>
        <w:numPr>
          <w:ilvl w:val="0"/>
          <w:numId w:val="2"/>
        </w:num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ind w:left="360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istnieje uzasadniona potrzeba transgranicznego wykorzystania nabytego sprzętu i/lub wyposażenia</w:t>
      </w:r>
    </w:p>
    <w:p w14:paraId="53930A5B" w14:textId="77777777" w:rsidR="00122238" w:rsidRPr="00CA6E9F" w:rsidRDefault="00122238" w:rsidP="00CA6E9F">
      <w:pPr>
        <w:shd w:val="clear" w:color="auto" w:fill="DBE5F1" w:themeFill="accent1" w:themeFillTint="33"/>
        <w:tabs>
          <w:tab w:val="left" w:pos="710"/>
        </w:tabs>
        <w:spacing w:before="40" w:after="120" w:line="260" w:lineRule="atLeast"/>
        <w:jc w:val="both"/>
        <w:rPr>
          <w:rFonts w:ascii="Arial" w:eastAsia="Times New Roman" w:hAnsi="Arial" w:cs="Arial"/>
          <w:sz w:val="20"/>
          <w:szCs w:val="20"/>
          <w:lang w:val="pl-PL" w:eastAsia="cs-CZ"/>
        </w:rPr>
      </w:pP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>W ramach projektu nabywane mogą być wyłącznie pojazdy z najlepszą dostępną technologią dla emisji CO</w:t>
      </w:r>
      <w:r w:rsidRPr="00CA6E9F">
        <w:rPr>
          <w:rFonts w:ascii="Arial" w:eastAsia="Times New Roman" w:hAnsi="Arial" w:cs="Arial"/>
          <w:sz w:val="20"/>
          <w:szCs w:val="20"/>
          <w:vertAlign w:val="subscript"/>
          <w:lang w:val="pl-PL" w:eastAsia="cs-CZ"/>
        </w:rPr>
        <w:t>2</w:t>
      </w:r>
      <w:r w:rsidRPr="00CA6E9F">
        <w:rPr>
          <w:rFonts w:ascii="Arial" w:eastAsia="Times New Roman" w:hAnsi="Arial" w:cs="Arial"/>
          <w:sz w:val="20"/>
          <w:szCs w:val="20"/>
          <w:lang w:val="pl-PL" w:eastAsia="cs-CZ"/>
        </w:rPr>
        <w:t xml:space="preserve"> dostępną w danej kategorii pojazdów. </w:t>
      </w:r>
    </w:p>
    <w:p w14:paraId="687A7A38" w14:textId="77777777" w:rsidR="00122238" w:rsidRPr="00122238" w:rsidRDefault="00122238" w:rsidP="009C0074">
      <w:pPr>
        <w:spacing w:after="0" w:line="240" w:lineRule="auto"/>
        <w:ind w:left="360"/>
        <w:contextualSpacing/>
        <w:jc w:val="both"/>
        <w:rPr>
          <w:lang w:val="pl-PL"/>
        </w:rPr>
      </w:pPr>
    </w:p>
    <w:sectPr w:rsidR="00122238" w:rsidRPr="001222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B7F72" w14:textId="77777777" w:rsidR="006D6A8E" w:rsidRDefault="006D6A8E" w:rsidP="000C3F5C">
      <w:pPr>
        <w:spacing w:after="0" w:line="240" w:lineRule="auto"/>
      </w:pPr>
      <w:r>
        <w:separator/>
      </w:r>
    </w:p>
  </w:endnote>
  <w:endnote w:type="continuationSeparator" w:id="0">
    <w:p w14:paraId="46DD4A06" w14:textId="77777777" w:rsidR="006D6A8E" w:rsidRDefault="006D6A8E" w:rsidP="000C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7EEB4" w14:textId="74563BA1" w:rsidR="005B2A1F" w:rsidRPr="00915860" w:rsidRDefault="005B2A1F" w:rsidP="005B2A1F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336574" wp14:editId="6B609C3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11D47E1" w14:textId="77777777" w:rsidR="005B2A1F" w:rsidRDefault="005B2A1F" w:rsidP="005B2A1F">
    <w:pPr>
      <w:pStyle w:val="Zpat"/>
    </w:pPr>
  </w:p>
  <w:p w14:paraId="64EE587A" w14:textId="77777777" w:rsidR="00521BB0" w:rsidRDefault="00521B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33A1C" w14:textId="77777777" w:rsidR="006D6A8E" w:rsidRDefault="006D6A8E" w:rsidP="000C3F5C">
      <w:pPr>
        <w:spacing w:after="0" w:line="240" w:lineRule="auto"/>
      </w:pPr>
      <w:r>
        <w:separator/>
      </w:r>
    </w:p>
  </w:footnote>
  <w:footnote w:type="continuationSeparator" w:id="0">
    <w:p w14:paraId="35E51A19" w14:textId="77777777" w:rsidR="006D6A8E" w:rsidRDefault="006D6A8E" w:rsidP="000C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4C0F" w14:textId="42B667CB" w:rsidR="00521BB0" w:rsidRPr="002808AC" w:rsidRDefault="00AF18EC" w:rsidP="00521BB0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1024D1C" wp14:editId="75965F6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59142" cy="495300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9142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2C15BD9" wp14:editId="09A4F21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863EC1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3EED5E16" wp14:editId="01F8DEC7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198224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521BB0" w:rsidRPr="000B60FA">
      <w:rPr>
        <w:lang w:val="pl-PL"/>
      </w:rPr>
      <w:t xml:space="preserve"> </w:t>
    </w:r>
    <w:r w:rsidR="00521BB0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AA5A15">
      <w:rPr>
        <w:rFonts w:ascii="Calibri" w:hAnsi="Calibri" w:cs="Calibri"/>
        <w:sz w:val="16"/>
        <w:szCs w:val="16"/>
      </w:rPr>
      <w:t>3</w:t>
    </w:r>
    <w:r w:rsidR="00521BB0" w:rsidRPr="002808AC">
      <w:rPr>
        <w:rFonts w:ascii="Calibri" w:hAnsi="Calibri" w:cs="Calibri"/>
        <w:sz w:val="16"/>
        <w:szCs w:val="16"/>
      </w:rPr>
      <w:t xml:space="preserve"> </w:t>
    </w:r>
    <w:r w:rsidR="00521BB0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521BB0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AA5A15">
      <w:rPr>
        <w:rFonts w:ascii="Calibri" w:hAnsi="Calibri" w:cs="Calibri"/>
        <w:sz w:val="16"/>
        <w:szCs w:val="16"/>
        <w:lang w:val="pl-PL"/>
      </w:rPr>
      <w:t>3</w:t>
    </w:r>
  </w:p>
  <w:p w14:paraId="1E559BAA" w14:textId="76FBB17C" w:rsidR="00521BB0" w:rsidRPr="002808AC" w:rsidRDefault="00521BB0" w:rsidP="00521BB0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5B2A1F">
      <w:rPr>
        <w:rFonts w:ascii="Calibri" w:hAnsi="Calibri" w:cs="Calibri"/>
        <w:sz w:val="16"/>
        <w:szCs w:val="16"/>
      </w:rPr>
      <w:t>C.</w:t>
    </w:r>
    <w:r w:rsidR="006D2797">
      <w:rPr>
        <w:rFonts w:ascii="Calibri" w:hAnsi="Calibri" w:cs="Calibri"/>
        <w:sz w:val="16"/>
        <w:szCs w:val="16"/>
      </w:rPr>
      <w:t>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5B2A1F">
      <w:rPr>
        <w:rFonts w:ascii="Calibri" w:hAnsi="Calibri" w:cs="Calibri"/>
        <w:sz w:val="16"/>
        <w:szCs w:val="16"/>
        <w:lang w:val="pl-PL"/>
      </w:rPr>
      <w:t>C.</w:t>
    </w:r>
    <w:r w:rsidR="006D2797">
      <w:rPr>
        <w:rFonts w:ascii="Calibri" w:hAnsi="Calibri" w:cs="Calibri"/>
        <w:sz w:val="16"/>
        <w:szCs w:val="16"/>
        <w:lang w:val="pl-PL"/>
      </w:rPr>
      <w:t>2</w:t>
    </w:r>
  </w:p>
  <w:p w14:paraId="554195C8" w14:textId="6448ADF3" w:rsidR="00521BB0" w:rsidRDefault="00521BB0" w:rsidP="00521BB0">
    <w:pPr>
      <w:pStyle w:val="Zhlav"/>
      <w:rPr>
        <w:rFonts w:ascii="Arial" w:hAnsi="Arial" w:cs="Arial"/>
        <w:sz w:val="20"/>
        <w:lang w:val="pl-PL"/>
      </w:rPr>
    </w:pPr>
  </w:p>
  <w:p w14:paraId="4C170394" w14:textId="163F0561" w:rsidR="000C3F5C" w:rsidRPr="00521BB0" w:rsidRDefault="000C3F5C" w:rsidP="00521B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05F98"/>
    <w:multiLevelType w:val="hybridMultilevel"/>
    <w:tmpl w:val="17185F98"/>
    <w:lvl w:ilvl="0" w:tplc="19ECB8F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31A"/>
    <w:multiLevelType w:val="hybridMultilevel"/>
    <w:tmpl w:val="0F4295FC"/>
    <w:lvl w:ilvl="0" w:tplc="705E300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9885869">
    <w:abstractNumId w:val="1"/>
  </w:num>
  <w:num w:numId="2" w16cid:durableId="1460413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75"/>
    <w:rsid w:val="00011200"/>
    <w:rsid w:val="00043352"/>
    <w:rsid w:val="000605A5"/>
    <w:rsid w:val="0009672B"/>
    <w:rsid w:val="000B6E02"/>
    <w:rsid w:val="000C3F5C"/>
    <w:rsid w:val="000E2CC0"/>
    <w:rsid w:val="000F2110"/>
    <w:rsid w:val="000F3751"/>
    <w:rsid w:val="00122238"/>
    <w:rsid w:val="00122327"/>
    <w:rsid w:val="00181E76"/>
    <w:rsid w:val="001B0FAC"/>
    <w:rsid w:val="001B2175"/>
    <w:rsid w:val="001B3652"/>
    <w:rsid w:val="00282AC6"/>
    <w:rsid w:val="0029430F"/>
    <w:rsid w:val="0031447D"/>
    <w:rsid w:val="00333806"/>
    <w:rsid w:val="00357F83"/>
    <w:rsid w:val="003619D9"/>
    <w:rsid w:val="00364973"/>
    <w:rsid w:val="00367303"/>
    <w:rsid w:val="003A4E7A"/>
    <w:rsid w:val="003E0B28"/>
    <w:rsid w:val="004055F8"/>
    <w:rsid w:val="00427ACA"/>
    <w:rsid w:val="00444868"/>
    <w:rsid w:val="00457A8F"/>
    <w:rsid w:val="00480378"/>
    <w:rsid w:val="00484B35"/>
    <w:rsid w:val="00487F56"/>
    <w:rsid w:val="00492C34"/>
    <w:rsid w:val="004A61F7"/>
    <w:rsid w:val="004C15DF"/>
    <w:rsid w:val="004C7B83"/>
    <w:rsid w:val="004F3D44"/>
    <w:rsid w:val="004F7BC2"/>
    <w:rsid w:val="00521BB0"/>
    <w:rsid w:val="00553008"/>
    <w:rsid w:val="00557535"/>
    <w:rsid w:val="005B2A1F"/>
    <w:rsid w:val="005E03B5"/>
    <w:rsid w:val="006231C3"/>
    <w:rsid w:val="006245DB"/>
    <w:rsid w:val="006433BA"/>
    <w:rsid w:val="00680AB4"/>
    <w:rsid w:val="0069081B"/>
    <w:rsid w:val="006947FD"/>
    <w:rsid w:val="006D2797"/>
    <w:rsid w:val="006D6A8E"/>
    <w:rsid w:val="00703760"/>
    <w:rsid w:val="0070648F"/>
    <w:rsid w:val="007315F8"/>
    <w:rsid w:val="00760B02"/>
    <w:rsid w:val="00763FDE"/>
    <w:rsid w:val="007644B8"/>
    <w:rsid w:val="007B54E4"/>
    <w:rsid w:val="007C0625"/>
    <w:rsid w:val="007F1999"/>
    <w:rsid w:val="007F6402"/>
    <w:rsid w:val="00800191"/>
    <w:rsid w:val="00831CF0"/>
    <w:rsid w:val="0084481E"/>
    <w:rsid w:val="008963B8"/>
    <w:rsid w:val="008A44A1"/>
    <w:rsid w:val="008C5DEB"/>
    <w:rsid w:val="008F1EE8"/>
    <w:rsid w:val="0091798D"/>
    <w:rsid w:val="00920A8C"/>
    <w:rsid w:val="009C0074"/>
    <w:rsid w:val="009C3C72"/>
    <w:rsid w:val="009D5426"/>
    <w:rsid w:val="009F68AF"/>
    <w:rsid w:val="00A46E10"/>
    <w:rsid w:val="00A572F9"/>
    <w:rsid w:val="00AA5A15"/>
    <w:rsid w:val="00AB0771"/>
    <w:rsid w:val="00AF18EC"/>
    <w:rsid w:val="00B352B3"/>
    <w:rsid w:val="00B57B86"/>
    <w:rsid w:val="00B8210A"/>
    <w:rsid w:val="00B85906"/>
    <w:rsid w:val="00BA37B8"/>
    <w:rsid w:val="00BA791C"/>
    <w:rsid w:val="00BC5136"/>
    <w:rsid w:val="00BF1EEC"/>
    <w:rsid w:val="00BF55F6"/>
    <w:rsid w:val="00C21462"/>
    <w:rsid w:val="00C361C8"/>
    <w:rsid w:val="00C66A54"/>
    <w:rsid w:val="00C81A27"/>
    <w:rsid w:val="00C975B6"/>
    <w:rsid w:val="00CA52B8"/>
    <w:rsid w:val="00CA6E9F"/>
    <w:rsid w:val="00CD6B75"/>
    <w:rsid w:val="00CF719D"/>
    <w:rsid w:val="00D44229"/>
    <w:rsid w:val="00D54205"/>
    <w:rsid w:val="00D6645C"/>
    <w:rsid w:val="00D87285"/>
    <w:rsid w:val="00DE0365"/>
    <w:rsid w:val="00DE1575"/>
    <w:rsid w:val="00E2458C"/>
    <w:rsid w:val="00E411CC"/>
    <w:rsid w:val="00E46725"/>
    <w:rsid w:val="00E5156E"/>
    <w:rsid w:val="00E5221C"/>
    <w:rsid w:val="00E541AC"/>
    <w:rsid w:val="00EA293E"/>
    <w:rsid w:val="00F22667"/>
    <w:rsid w:val="00F32798"/>
    <w:rsid w:val="00F66E53"/>
    <w:rsid w:val="00FF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A145927"/>
  <w15:docId w15:val="{C9BA971F-F18C-4AFB-B4C3-FD257D31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54205"/>
    <w:pPr>
      <w:ind w:left="720"/>
      <w:contextualSpacing/>
    </w:pPr>
  </w:style>
  <w:style w:type="table" w:styleId="Mkatabulky">
    <w:name w:val="Table Grid"/>
    <w:basedOn w:val="Normlntabulka"/>
    <w:uiPriority w:val="59"/>
    <w:rsid w:val="00B85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27A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7A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7A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A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7AC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AC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3F5C"/>
  </w:style>
  <w:style w:type="paragraph" w:styleId="Zpat">
    <w:name w:val="footer"/>
    <w:basedOn w:val="Normln"/>
    <w:link w:val="ZpatChar"/>
    <w:uiPriority w:val="99"/>
    <w:unhideWhenUsed/>
    <w:rsid w:val="000C3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3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9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41C73-F2F4-4739-9930-54225137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1244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Prietzel Rafał</dc:creator>
  <cp:lastModifiedBy>Holečková Monika</cp:lastModifiedBy>
  <cp:revision>7</cp:revision>
  <dcterms:created xsi:type="dcterms:W3CDTF">2022-12-07T14:18:00Z</dcterms:created>
  <dcterms:modified xsi:type="dcterms:W3CDTF">2023-11-16T12:20:00Z</dcterms:modified>
</cp:coreProperties>
</file>