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5DCB0" w14:textId="722C9838" w:rsidR="00277B18" w:rsidRPr="008602DE" w:rsidRDefault="00277B18" w:rsidP="00792BB8">
      <w:pPr>
        <w:pStyle w:val="Nzev"/>
        <w:jc w:val="center"/>
        <w:rPr>
          <w:rFonts w:ascii="Arial" w:hAnsi="Arial" w:cs="Arial"/>
          <w:lang w:val="pl-PL"/>
        </w:rPr>
      </w:pPr>
      <w:r w:rsidRPr="008602DE">
        <w:rPr>
          <w:rFonts w:ascii="Arial" w:hAnsi="Arial" w:cs="Arial"/>
          <w:lang w:val="pl-PL"/>
        </w:rPr>
        <w:t xml:space="preserve">Decyzja w sprawie </w:t>
      </w:r>
      <w:r w:rsidR="00215FAE" w:rsidRPr="008602DE">
        <w:rPr>
          <w:rFonts w:ascii="Arial" w:hAnsi="Arial" w:cs="Arial"/>
          <w:lang w:val="pl-PL"/>
        </w:rPr>
        <w:t xml:space="preserve">udzielenia </w:t>
      </w:r>
      <w:r w:rsidRPr="008602DE">
        <w:rPr>
          <w:rFonts w:ascii="Arial" w:hAnsi="Arial" w:cs="Arial"/>
          <w:lang w:val="pl-PL"/>
        </w:rPr>
        <w:t>dofinansowania dla projektu realizowanego w ramach programu</w:t>
      </w:r>
    </w:p>
    <w:p w14:paraId="126E222F" w14:textId="33D89641" w:rsidR="00604B8C" w:rsidRPr="008602DE" w:rsidRDefault="00277B18" w:rsidP="00792BB8">
      <w:pPr>
        <w:pStyle w:val="Nzev"/>
        <w:jc w:val="center"/>
        <w:rPr>
          <w:rFonts w:ascii="Arial" w:hAnsi="Arial" w:cs="Arial"/>
          <w:lang w:val="pl-PL"/>
        </w:rPr>
      </w:pPr>
      <w:r w:rsidRPr="008602DE">
        <w:rPr>
          <w:rFonts w:ascii="Arial" w:hAnsi="Arial" w:cs="Arial"/>
          <w:lang w:val="pl-PL"/>
        </w:rPr>
        <w:t xml:space="preserve">Interreg </w:t>
      </w:r>
      <w:r w:rsidR="00C27D01" w:rsidRPr="008602DE">
        <w:rPr>
          <w:rFonts w:ascii="Arial" w:hAnsi="Arial" w:cs="Arial"/>
          <w:lang w:val="pl-PL"/>
        </w:rPr>
        <w:t xml:space="preserve">Czechy </w:t>
      </w:r>
      <w:r w:rsidR="00604B8C" w:rsidRPr="008602DE">
        <w:rPr>
          <w:rFonts w:ascii="Arial" w:hAnsi="Arial" w:cs="Arial"/>
          <w:lang w:val="pl-PL"/>
        </w:rPr>
        <w:t>–</w:t>
      </w:r>
      <w:r w:rsidRPr="008602DE">
        <w:rPr>
          <w:rFonts w:ascii="Arial" w:hAnsi="Arial" w:cs="Arial"/>
          <w:lang w:val="pl-PL"/>
        </w:rPr>
        <w:t xml:space="preserve"> Polska</w:t>
      </w:r>
      <w:r w:rsidR="00604B8C" w:rsidRPr="008602DE">
        <w:rPr>
          <w:rFonts w:ascii="Arial" w:hAnsi="Arial" w:cs="Arial"/>
          <w:lang w:val="pl-PL"/>
        </w:rPr>
        <w:t xml:space="preserve"> </w:t>
      </w:r>
    </w:p>
    <w:p w14:paraId="33C05488" w14:textId="1746CE89" w:rsidR="00277B18" w:rsidRPr="008602DE" w:rsidRDefault="00604B8C" w:rsidP="00792BB8">
      <w:pPr>
        <w:pStyle w:val="Nzev"/>
        <w:jc w:val="center"/>
        <w:rPr>
          <w:rFonts w:ascii="Arial" w:hAnsi="Arial" w:cs="Arial"/>
          <w:lang w:val="pl-PL"/>
        </w:rPr>
      </w:pPr>
      <w:r w:rsidRPr="008602DE">
        <w:rPr>
          <w:rFonts w:ascii="Arial" w:hAnsi="Arial" w:cs="Arial"/>
          <w:lang w:val="pl-PL"/>
        </w:rPr>
        <w:t>2021 - 2027</w:t>
      </w:r>
    </w:p>
    <w:p w14:paraId="7477C456" w14:textId="77777777" w:rsidR="00277B18" w:rsidRPr="008602DE" w:rsidRDefault="00792BB8" w:rsidP="00792BB8">
      <w:pPr>
        <w:jc w:val="center"/>
        <w:rPr>
          <w:b/>
          <w:lang w:val="pl-PL"/>
        </w:rPr>
      </w:pPr>
      <w:bookmarkStart w:id="0" w:name="_Toc434674166"/>
      <w:r w:rsidRPr="008602DE">
        <w:rPr>
          <w:b/>
          <w:bCs/>
          <w:szCs w:val="24"/>
          <w:lang w:val="pl-PL"/>
        </w:rPr>
        <w:t>(dalej jako „Decyzja”</w:t>
      </w:r>
      <w:r w:rsidR="00277B18" w:rsidRPr="008602DE">
        <w:rPr>
          <w:b/>
          <w:bCs/>
          <w:szCs w:val="24"/>
          <w:lang w:val="pl-PL"/>
        </w:rPr>
        <w:t>)</w:t>
      </w:r>
      <w:bookmarkEnd w:id="0"/>
    </w:p>
    <w:p w14:paraId="31B41CC4" w14:textId="77777777" w:rsidR="00277B18" w:rsidRPr="008602DE" w:rsidRDefault="00277B18" w:rsidP="00792BB8">
      <w:pPr>
        <w:jc w:val="both"/>
        <w:rPr>
          <w:b/>
          <w:bCs/>
          <w:szCs w:val="24"/>
          <w:lang w:val="pl-PL"/>
        </w:rPr>
      </w:pPr>
    </w:p>
    <w:p w14:paraId="65C0590D" w14:textId="77777777" w:rsidR="00277B18" w:rsidRPr="008602DE" w:rsidRDefault="00792BB8" w:rsidP="00792BB8">
      <w:pPr>
        <w:jc w:val="both"/>
        <w:rPr>
          <w:i/>
          <w:iCs/>
          <w:szCs w:val="24"/>
          <w:lang w:val="pl-PL"/>
        </w:rPr>
      </w:pPr>
      <w:r w:rsidRPr="008602DE">
        <w:rPr>
          <w:i/>
          <w:iCs/>
          <w:szCs w:val="24"/>
          <w:lang w:val="pl-PL"/>
        </w:rPr>
        <w:t>wydana w oparciu o</w:t>
      </w:r>
      <w:r w:rsidR="00277B18" w:rsidRPr="008602DE">
        <w:rPr>
          <w:i/>
          <w:iCs/>
          <w:szCs w:val="24"/>
          <w:lang w:val="pl-PL"/>
        </w:rPr>
        <w:t xml:space="preserve"> § 14 ustawy nr 218/2000 Dz. U. Republiki Czeskiej, o przepisach budżetowych oraz zmianie wybranych przepisów prawnych, zgodnie z póź</w:t>
      </w:r>
      <w:r w:rsidRPr="008602DE">
        <w:rPr>
          <w:i/>
          <w:iCs/>
          <w:szCs w:val="24"/>
          <w:lang w:val="pl-PL"/>
        </w:rPr>
        <w:t>niejszymi zmianami (dalej jako „</w:t>
      </w:r>
      <w:r w:rsidR="00277B18" w:rsidRPr="008602DE">
        <w:rPr>
          <w:i/>
          <w:iCs/>
          <w:szCs w:val="24"/>
          <w:lang w:val="pl-PL"/>
        </w:rPr>
        <w:t>ustawa nr 218/2000 Dz. U. Rep. Czeskiej</w:t>
      </w:r>
      <w:r w:rsidRPr="008602DE">
        <w:rPr>
          <w:i/>
          <w:iCs/>
          <w:szCs w:val="24"/>
          <w:lang w:val="pl-PL"/>
        </w:rPr>
        <w:t>”</w:t>
      </w:r>
      <w:r w:rsidR="00277B18" w:rsidRPr="008602DE">
        <w:rPr>
          <w:i/>
          <w:iCs/>
          <w:szCs w:val="24"/>
          <w:lang w:val="pl-PL"/>
        </w:rPr>
        <w:t>)</w:t>
      </w:r>
    </w:p>
    <w:p w14:paraId="1F253D5D" w14:textId="77777777" w:rsidR="00277B18" w:rsidRPr="008602DE" w:rsidRDefault="007E65CC" w:rsidP="00507313">
      <w:pPr>
        <w:tabs>
          <w:tab w:val="left" w:pos="8010"/>
        </w:tabs>
        <w:jc w:val="both"/>
        <w:rPr>
          <w:lang w:val="pl-PL"/>
        </w:rPr>
      </w:pPr>
      <w:r w:rsidRPr="008602DE">
        <w:rPr>
          <w:lang w:val="pl-PL"/>
        </w:rPr>
        <w:tab/>
      </w:r>
    </w:p>
    <w:p w14:paraId="72AFD300" w14:textId="352FFC97" w:rsidR="00277B18" w:rsidRPr="008602DE" w:rsidRDefault="00277B18" w:rsidP="00792BB8">
      <w:pPr>
        <w:jc w:val="both"/>
        <w:rPr>
          <w:szCs w:val="24"/>
          <w:lang w:val="pl-PL"/>
        </w:rPr>
      </w:pPr>
      <w:r w:rsidRPr="008602DE">
        <w:rPr>
          <w:szCs w:val="24"/>
          <w:lang w:val="pl-PL"/>
        </w:rPr>
        <w:t>Ministerstwo Rozwoju Regionalnego, Departament Europejskiej Współpracy Terytorialnej,</w:t>
      </w:r>
      <w:r w:rsidR="00792BB8" w:rsidRPr="008602DE">
        <w:rPr>
          <w:szCs w:val="24"/>
          <w:lang w:val="pl-PL"/>
        </w:rPr>
        <w:t xml:space="preserve"> z siedzibą</w:t>
      </w:r>
      <w:r w:rsidRPr="008602DE">
        <w:rPr>
          <w:szCs w:val="24"/>
          <w:lang w:val="pl-PL"/>
        </w:rPr>
        <w:t>: Staroměstské</w:t>
      </w:r>
      <w:r w:rsidR="001356A6" w:rsidRPr="008602DE">
        <w:rPr>
          <w:szCs w:val="24"/>
          <w:lang w:val="pl-PL"/>
        </w:rPr>
        <w:t xml:space="preserve"> </w:t>
      </w:r>
      <w:r w:rsidRPr="008602DE">
        <w:rPr>
          <w:szCs w:val="24"/>
          <w:lang w:val="pl-PL"/>
        </w:rPr>
        <w:t xml:space="preserve">náměstí 6, 110 15 Praha 1, jako podmiot </w:t>
      </w:r>
      <w:r w:rsidR="00F005D9" w:rsidRPr="008602DE">
        <w:rPr>
          <w:szCs w:val="24"/>
          <w:lang w:val="pl-PL"/>
        </w:rPr>
        <w:t>udzielający</w:t>
      </w:r>
      <w:r w:rsidR="00792BB8" w:rsidRPr="008602DE">
        <w:rPr>
          <w:szCs w:val="24"/>
          <w:lang w:val="pl-PL"/>
        </w:rPr>
        <w:t xml:space="preserve"> dofinansowani</w:t>
      </w:r>
      <w:r w:rsidR="00F005D9" w:rsidRPr="008602DE">
        <w:rPr>
          <w:szCs w:val="24"/>
          <w:lang w:val="pl-PL"/>
        </w:rPr>
        <w:t>a</w:t>
      </w:r>
      <w:r w:rsidR="00792BB8" w:rsidRPr="008602DE">
        <w:rPr>
          <w:szCs w:val="24"/>
          <w:lang w:val="pl-PL"/>
        </w:rPr>
        <w:t xml:space="preserve">, w odpowiedzi na </w:t>
      </w:r>
      <w:r w:rsidRPr="008602DE">
        <w:rPr>
          <w:szCs w:val="24"/>
          <w:lang w:val="pl-PL"/>
        </w:rPr>
        <w:t>wniosek o dofinansowani</w:t>
      </w:r>
      <w:r w:rsidR="00C27D01" w:rsidRPr="008602DE">
        <w:rPr>
          <w:szCs w:val="24"/>
          <w:lang w:val="pl-PL"/>
        </w:rPr>
        <w:t>e</w:t>
      </w:r>
      <w:r w:rsidRPr="008602DE">
        <w:rPr>
          <w:szCs w:val="24"/>
          <w:lang w:val="pl-PL"/>
        </w:rPr>
        <w:t xml:space="preserve">, złożony przez </w:t>
      </w:r>
      <w:r w:rsidR="00962D9B" w:rsidRPr="008602DE">
        <w:rPr>
          <w:szCs w:val="24"/>
          <w:lang w:val="pl-PL"/>
        </w:rPr>
        <w:t>B</w:t>
      </w:r>
      <w:r w:rsidR="007051EB" w:rsidRPr="008602DE">
        <w:rPr>
          <w:szCs w:val="24"/>
          <w:lang w:val="pl-PL"/>
        </w:rPr>
        <w:t xml:space="preserve">eneficjenta </w:t>
      </w:r>
      <w:r w:rsidRPr="008602DE">
        <w:rPr>
          <w:szCs w:val="24"/>
          <w:lang w:val="pl-PL"/>
        </w:rPr>
        <w:t xml:space="preserve">w dniu ...., zatwierdzony przez Komitet Monitorujący programu Interreg </w:t>
      </w:r>
      <w:r w:rsidR="00C27D01" w:rsidRPr="008602DE">
        <w:rPr>
          <w:szCs w:val="24"/>
          <w:lang w:val="pl-PL"/>
        </w:rPr>
        <w:t>Czechy</w:t>
      </w:r>
      <w:r w:rsidRPr="008602DE">
        <w:rPr>
          <w:szCs w:val="24"/>
          <w:lang w:val="pl-PL"/>
        </w:rPr>
        <w:t xml:space="preserve"> </w:t>
      </w:r>
      <w:r w:rsidR="00792BB8" w:rsidRPr="008602DE">
        <w:rPr>
          <w:szCs w:val="24"/>
          <w:lang w:val="pl-PL"/>
        </w:rPr>
        <w:t>–</w:t>
      </w:r>
      <w:r w:rsidRPr="008602DE">
        <w:rPr>
          <w:szCs w:val="24"/>
          <w:lang w:val="pl-PL"/>
        </w:rPr>
        <w:t xml:space="preserve"> Polska </w:t>
      </w:r>
      <w:r w:rsidR="009C119D" w:rsidRPr="008602DE">
        <w:rPr>
          <w:szCs w:val="24"/>
          <w:lang w:val="pl-PL"/>
        </w:rPr>
        <w:t xml:space="preserve">2021-2027 </w:t>
      </w:r>
      <w:r w:rsidRPr="008602DE">
        <w:rPr>
          <w:szCs w:val="24"/>
          <w:lang w:val="pl-PL"/>
        </w:rPr>
        <w:t xml:space="preserve">na posiedzeniu w dniu </w:t>
      </w:r>
      <w:r w:rsidR="00FC6EF5" w:rsidRPr="008602DE">
        <w:rPr>
          <w:szCs w:val="24"/>
          <w:lang w:val="pl-PL"/>
        </w:rPr>
        <w:t>...</w:t>
      </w:r>
      <w:r w:rsidRPr="008602DE">
        <w:rPr>
          <w:szCs w:val="24"/>
          <w:lang w:val="pl-PL"/>
        </w:rPr>
        <w:t>..., zgodnie z § 14 ustawy nr 218/2000 Dz. U. Republiki Czeskiej, o przepisach budżetowych, zg</w:t>
      </w:r>
      <w:r w:rsidR="00792BB8" w:rsidRPr="008602DE">
        <w:rPr>
          <w:szCs w:val="24"/>
          <w:lang w:val="pl-PL"/>
        </w:rPr>
        <w:t>odnie z późniejszymi zmianami,</w:t>
      </w:r>
      <w:r w:rsidRPr="008602DE">
        <w:rPr>
          <w:szCs w:val="24"/>
          <w:lang w:val="pl-PL"/>
        </w:rPr>
        <w:t xml:space="preserve"> zgod</w:t>
      </w:r>
      <w:r w:rsidR="0027511A" w:rsidRPr="008602DE">
        <w:rPr>
          <w:szCs w:val="24"/>
          <w:lang w:val="pl-PL"/>
        </w:rPr>
        <w:t>n</w:t>
      </w:r>
      <w:r w:rsidRPr="008602DE">
        <w:rPr>
          <w:szCs w:val="24"/>
          <w:lang w:val="pl-PL"/>
        </w:rPr>
        <w:t xml:space="preserve">ie z warunkami programu Interreg </w:t>
      </w:r>
      <w:r w:rsidR="00C27D01" w:rsidRPr="008602DE">
        <w:rPr>
          <w:szCs w:val="24"/>
          <w:lang w:val="pl-PL"/>
        </w:rPr>
        <w:t>Czechy</w:t>
      </w:r>
      <w:r w:rsidRPr="008602DE">
        <w:rPr>
          <w:szCs w:val="24"/>
          <w:lang w:val="pl-PL"/>
        </w:rPr>
        <w:t xml:space="preserve"> </w:t>
      </w:r>
      <w:r w:rsidR="00792BB8" w:rsidRPr="008602DE">
        <w:rPr>
          <w:szCs w:val="24"/>
          <w:lang w:val="pl-PL"/>
        </w:rPr>
        <w:t>–</w:t>
      </w:r>
      <w:r w:rsidRPr="008602DE">
        <w:rPr>
          <w:szCs w:val="24"/>
          <w:lang w:val="pl-PL"/>
        </w:rPr>
        <w:t xml:space="preserve"> Polska </w:t>
      </w:r>
      <w:r w:rsidR="009C119D" w:rsidRPr="008602DE">
        <w:rPr>
          <w:szCs w:val="24"/>
          <w:lang w:val="pl-PL"/>
        </w:rPr>
        <w:t xml:space="preserve">2021-2027 </w:t>
      </w:r>
      <w:r w:rsidRPr="008602DE">
        <w:rPr>
          <w:szCs w:val="24"/>
          <w:lang w:val="pl-PL"/>
        </w:rPr>
        <w:t xml:space="preserve">podjęło następującą decyzję w sprawie przyznania dofinansowania: </w:t>
      </w:r>
    </w:p>
    <w:p w14:paraId="5E3EAC5F" w14:textId="27A01AF3" w:rsidR="00277B18" w:rsidRPr="008602DE" w:rsidRDefault="00277B18" w:rsidP="002B7FA0">
      <w:pPr>
        <w:pStyle w:val="Nadpis1"/>
        <w:ind w:left="0" w:hanging="1"/>
        <w:jc w:val="center"/>
        <w:rPr>
          <w:lang w:val="pl-PL"/>
        </w:rPr>
      </w:pPr>
      <w:r w:rsidRPr="008602DE">
        <w:rPr>
          <w:lang w:val="pl-PL"/>
        </w:rPr>
        <w:t>Postanowienia ogólne</w:t>
      </w:r>
    </w:p>
    <w:p w14:paraId="25679EA4" w14:textId="47C8D9C4" w:rsidR="00277B18" w:rsidRPr="002B7FA0" w:rsidRDefault="00277B18" w:rsidP="002B7FA0">
      <w:pPr>
        <w:pStyle w:val="Nadpis2"/>
        <w:rPr>
          <w:lang w:val="pl-PL"/>
        </w:rPr>
      </w:pPr>
      <w:bookmarkStart w:id="1" w:name="_Toc434755104"/>
      <w:r w:rsidRPr="002B7FA0">
        <w:rPr>
          <w:lang w:val="pl-PL"/>
        </w:rPr>
        <w:t xml:space="preserve">Specyfikacja </w:t>
      </w:r>
      <w:r w:rsidR="0047454E" w:rsidRPr="002B7FA0">
        <w:rPr>
          <w:lang w:val="pl-PL"/>
        </w:rPr>
        <w:t>Głównego B</w:t>
      </w:r>
      <w:r w:rsidRPr="002B7FA0">
        <w:rPr>
          <w:lang w:val="pl-PL"/>
        </w:rPr>
        <w:t>en</w:t>
      </w:r>
      <w:r w:rsidR="00792BB8" w:rsidRPr="002B7FA0">
        <w:rPr>
          <w:lang w:val="pl-PL"/>
        </w:rPr>
        <w:t>ef</w:t>
      </w:r>
      <w:r w:rsidRPr="002B7FA0">
        <w:rPr>
          <w:lang w:val="pl-PL"/>
        </w:rPr>
        <w:t>icjenta</w:t>
      </w:r>
      <w:bookmarkEnd w:id="1"/>
    </w:p>
    <w:p w14:paraId="133DC329" w14:textId="3FBA711A" w:rsidR="00277B18" w:rsidRPr="008602DE" w:rsidRDefault="00277B18" w:rsidP="00792BB8">
      <w:pPr>
        <w:jc w:val="both"/>
        <w:rPr>
          <w:b/>
          <w:lang w:val="pl-PL"/>
        </w:rPr>
      </w:pPr>
      <w:r w:rsidRPr="008602DE">
        <w:rPr>
          <w:b/>
          <w:bCs/>
          <w:szCs w:val="24"/>
          <w:lang w:val="pl-PL"/>
        </w:rPr>
        <w:t xml:space="preserve">Nazwa </w:t>
      </w:r>
      <w:r w:rsidR="0047454E" w:rsidRPr="008602DE">
        <w:rPr>
          <w:b/>
          <w:bCs/>
          <w:szCs w:val="24"/>
          <w:lang w:val="pl-PL"/>
        </w:rPr>
        <w:t>Głównego B</w:t>
      </w:r>
      <w:r w:rsidRPr="008602DE">
        <w:rPr>
          <w:b/>
          <w:bCs/>
          <w:szCs w:val="24"/>
          <w:lang w:val="pl-PL"/>
        </w:rPr>
        <w:t>eneficjenta (Partnera Wiodącego):</w:t>
      </w:r>
      <w:r w:rsidRPr="008602DE">
        <w:rPr>
          <w:b/>
          <w:bCs/>
          <w:szCs w:val="24"/>
          <w:lang w:val="pl-PL"/>
        </w:rPr>
        <w:tab/>
      </w:r>
    </w:p>
    <w:p w14:paraId="4374BD9B" w14:textId="77777777" w:rsidR="00277B18" w:rsidRPr="008602DE" w:rsidRDefault="00277B18" w:rsidP="00792BB8">
      <w:pPr>
        <w:jc w:val="both"/>
        <w:rPr>
          <w:b/>
          <w:lang w:val="pl-PL"/>
        </w:rPr>
      </w:pPr>
      <w:r w:rsidRPr="008602DE">
        <w:rPr>
          <w:b/>
          <w:bCs/>
          <w:szCs w:val="24"/>
          <w:lang w:val="pl-PL"/>
        </w:rPr>
        <w:t>REGON:</w:t>
      </w:r>
      <w:r w:rsidRPr="008602DE">
        <w:rPr>
          <w:b/>
          <w:bCs/>
          <w:szCs w:val="24"/>
          <w:lang w:val="pl-PL"/>
        </w:rPr>
        <w:tab/>
      </w:r>
    </w:p>
    <w:p w14:paraId="709AC89C" w14:textId="77777777" w:rsidR="00277B18" w:rsidRPr="008602DE" w:rsidRDefault="00277B18" w:rsidP="00792BB8">
      <w:pPr>
        <w:jc w:val="both"/>
        <w:rPr>
          <w:b/>
          <w:lang w:val="pl-PL"/>
        </w:rPr>
      </w:pPr>
      <w:r w:rsidRPr="008602DE">
        <w:rPr>
          <w:b/>
          <w:bCs/>
          <w:szCs w:val="24"/>
          <w:lang w:val="pl-PL"/>
        </w:rPr>
        <w:t>Siedziba:</w:t>
      </w:r>
      <w:r w:rsidRPr="008602DE">
        <w:rPr>
          <w:b/>
          <w:bCs/>
          <w:szCs w:val="24"/>
          <w:lang w:val="pl-PL"/>
        </w:rPr>
        <w:tab/>
      </w:r>
    </w:p>
    <w:p w14:paraId="7D0EF8B0" w14:textId="77777777" w:rsidR="00277B18" w:rsidRPr="008602DE" w:rsidRDefault="00277B18" w:rsidP="00792BB8">
      <w:pPr>
        <w:jc w:val="both"/>
        <w:rPr>
          <w:b/>
          <w:lang w:val="pl-PL"/>
        </w:rPr>
      </w:pPr>
      <w:r w:rsidRPr="008602DE">
        <w:rPr>
          <w:b/>
          <w:bCs/>
          <w:szCs w:val="24"/>
          <w:lang w:val="pl-PL"/>
        </w:rPr>
        <w:t>Przedstawiciel statutowy:</w:t>
      </w:r>
    </w:p>
    <w:p w14:paraId="4267670E" w14:textId="77777777" w:rsidR="00277B18" w:rsidRPr="008602DE" w:rsidRDefault="00277B18" w:rsidP="002B7FA0">
      <w:pPr>
        <w:pStyle w:val="Nadpis2"/>
      </w:pPr>
      <w:bookmarkStart w:id="2" w:name="_Toc434755105"/>
      <w:proofErr w:type="spellStart"/>
      <w:r w:rsidRPr="008602DE">
        <w:t>Wysokość</w:t>
      </w:r>
      <w:proofErr w:type="spellEnd"/>
      <w:r w:rsidRPr="008602DE">
        <w:t xml:space="preserve"> </w:t>
      </w:r>
      <w:proofErr w:type="spellStart"/>
      <w:r w:rsidRPr="008602DE">
        <w:t>dofinansowania</w:t>
      </w:r>
      <w:bookmarkEnd w:id="2"/>
      <w:proofErr w:type="spellEnd"/>
    </w:p>
    <w:p w14:paraId="13E96C50" w14:textId="5D6774D0" w:rsidR="00277B18" w:rsidRPr="008602DE" w:rsidRDefault="00277B18" w:rsidP="001827C1">
      <w:pPr>
        <w:pStyle w:val="Nadpis3"/>
        <w:rPr>
          <w:lang w:val="pl-PL"/>
        </w:rPr>
      </w:pPr>
      <w:bookmarkStart w:id="3" w:name="_Toc434755106"/>
      <w:r w:rsidRPr="008602DE">
        <w:rPr>
          <w:lang w:val="pl-PL"/>
        </w:rPr>
        <w:t>Wysokość dofinansowania</w:t>
      </w:r>
      <w:bookmarkEnd w:id="3"/>
    </w:p>
    <w:p w14:paraId="7CED05EF" w14:textId="77777777" w:rsidR="00277B18" w:rsidRPr="008602DE" w:rsidRDefault="00277B18" w:rsidP="00792BB8">
      <w:pPr>
        <w:jc w:val="both"/>
        <w:rPr>
          <w:lang w:val="pl-PL"/>
        </w:rPr>
      </w:pPr>
      <w:r w:rsidRPr="008602DE">
        <w:rPr>
          <w:szCs w:val="24"/>
          <w:lang w:val="pl-PL"/>
        </w:rPr>
        <w:t xml:space="preserve">Dofinansowanie przyznane zostaje w pełnej kwocie maksymalnej ....................... EUR ze środków Funduszu Narodowego (§ 37 ustawy nr 218/2000 Dz. U. Rep. Czeskiej), Europejskiego Funduszu Rozwoju Regionalnego (EFRR). </w:t>
      </w:r>
    </w:p>
    <w:p w14:paraId="2C09AFF7" w14:textId="77777777" w:rsidR="00277B18" w:rsidRPr="008602DE" w:rsidRDefault="00277B18" w:rsidP="00792BB8">
      <w:pPr>
        <w:jc w:val="both"/>
        <w:rPr>
          <w:lang w:val="pl-PL"/>
        </w:rPr>
      </w:pPr>
    </w:p>
    <w:p w14:paraId="0AB0603D" w14:textId="5D11BC99" w:rsidR="00277B18" w:rsidRPr="008602DE" w:rsidRDefault="00277B18" w:rsidP="001827C1">
      <w:pPr>
        <w:pStyle w:val="Nadpis3"/>
        <w:rPr>
          <w:lang w:val="pl-PL"/>
        </w:rPr>
      </w:pPr>
      <w:bookmarkStart w:id="4" w:name="_Toc434755108"/>
      <w:r w:rsidRPr="008602DE">
        <w:rPr>
          <w:lang w:val="pl-PL"/>
        </w:rPr>
        <w:t>Ramy finansowe projektu</w:t>
      </w:r>
      <w:r w:rsidR="00792BB8" w:rsidRPr="008602DE">
        <w:rPr>
          <w:lang w:val="pl-PL"/>
        </w:rPr>
        <w:t>,</w:t>
      </w:r>
      <w:r w:rsidRPr="008602DE">
        <w:rPr>
          <w:lang w:val="pl-PL"/>
        </w:rPr>
        <w:t xml:space="preserve"> obejmujące całkowite wydatki na projekt</w:t>
      </w:r>
      <w:bookmarkEnd w:id="4"/>
    </w:p>
    <w:p w14:paraId="2B68BEE8" w14:textId="40BFC6DB" w:rsidR="00277B18" w:rsidRPr="008602DE" w:rsidRDefault="00277B18" w:rsidP="00792BB8">
      <w:pPr>
        <w:jc w:val="both"/>
        <w:rPr>
          <w:lang w:val="pl-PL"/>
        </w:rPr>
      </w:pPr>
      <w:r w:rsidRPr="008602DE">
        <w:rPr>
          <w:szCs w:val="24"/>
          <w:lang w:val="pl-PL"/>
        </w:rPr>
        <w:t>Ramy finansowe projektu</w:t>
      </w:r>
      <w:r w:rsidR="00792BB8" w:rsidRPr="008602DE">
        <w:rPr>
          <w:szCs w:val="24"/>
          <w:lang w:val="pl-PL"/>
        </w:rPr>
        <w:t>,</w:t>
      </w:r>
      <w:r w:rsidRPr="008602DE">
        <w:rPr>
          <w:szCs w:val="24"/>
          <w:lang w:val="pl-PL"/>
        </w:rPr>
        <w:t xml:space="preserve"> obejmują całkowite w</w:t>
      </w:r>
      <w:r w:rsidR="00792BB8" w:rsidRPr="008602DE">
        <w:rPr>
          <w:szCs w:val="24"/>
          <w:lang w:val="pl-PL"/>
        </w:rPr>
        <w:t>ydatki projektu</w:t>
      </w:r>
      <w:r w:rsidR="00A10F52" w:rsidRPr="008602DE">
        <w:rPr>
          <w:szCs w:val="24"/>
          <w:lang w:val="pl-PL"/>
        </w:rPr>
        <w:t>. C</w:t>
      </w:r>
      <w:r w:rsidRPr="008602DE">
        <w:rPr>
          <w:szCs w:val="24"/>
          <w:lang w:val="pl-PL"/>
        </w:rPr>
        <w:t xml:space="preserve">ałkowite wydatki na poziomie </w:t>
      </w:r>
      <w:r w:rsidR="0047454E" w:rsidRPr="008602DE">
        <w:rPr>
          <w:szCs w:val="24"/>
          <w:lang w:val="pl-PL"/>
        </w:rPr>
        <w:t>Głównego B</w:t>
      </w:r>
      <w:r w:rsidRPr="008602DE">
        <w:rPr>
          <w:szCs w:val="24"/>
          <w:lang w:val="pl-PL"/>
        </w:rPr>
        <w:t>eneficjenta i jego partnerów</w:t>
      </w:r>
      <w:r w:rsidR="00792BB8" w:rsidRPr="008602DE">
        <w:rPr>
          <w:szCs w:val="24"/>
          <w:lang w:val="pl-PL"/>
        </w:rPr>
        <w:t>, określono</w:t>
      </w:r>
      <w:r w:rsidRPr="008602DE">
        <w:rPr>
          <w:szCs w:val="24"/>
          <w:lang w:val="pl-PL"/>
        </w:rPr>
        <w:t xml:space="preserve"> w załączniku nr 1</w:t>
      </w:r>
      <w:r w:rsidR="00792BB8" w:rsidRPr="008602DE">
        <w:rPr>
          <w:szCs w:val="24"/>
          <w:lang w:val="pl-PL"/>
        </w:rPr>
        <w:t xml:space="preserve"> do</w:t>
      </w:r>
      <w:r w:rsidRPr="008602DE">
        <w:rPr>
          <w:szCs w:val="24"/>
          <w:lang w:val="pl-PL"/>
        </w:rPr>
        <w:t xml:space="preserve"> niniejszej Decyzji. </w:t>
      </w:r>
      <w:r w:rsidRPr="008602DE">
        <w:rPr>
          <w:szCs w:val="24"/>
          <w:lang w:val="pl-PL"/>
        </w:rPr>
        <w:lastRenderedPageBreak/>
        <w:t>Proporcje dofinansowania ze ś</w:t>
      </w:r>
      <w:r w:rsidR="00792BB8" w:rsidRPr="008602DE">
        <w:rPr>
          <w:szCs w:val="24"/>
          <w:lang w:val="pl-PL"/>
        </w:rPr>
        <w:t>rodków Funduszu Na</w:t>
      </w:r>
      <w:r w:rsidRPr="008602DE">
        <w:rPr>
          <w:szCs w:val="24"/>
          <w:lang w:val="pl-PL"/>
        </w:rPr>
        <w:t xml:space="preserve">rodowego na poziomie </w:t>
      </w:r>
      <w:r w:rsidR="0047454E" w:rsidRPr="008602DE">
        <w:rPr>
          <w:szCs w:val="24"/>
          <w:lang w:val="pl-PL"/>
        </w:rPr>
        <w:t>Głównego B</w:t>
      </w:r>
      <w:r w:rsidRPr="008602DE">
        <w:rPr>
          <w:szCs w:val="24"/>
          <w:lang w:val="pl-PL"/>
        </w:rPr>
        <w:t>eneficjenta i jego partnerów</w:t>
      </w:r>
      <w:r w:rsidR="00792BB8" w:rsidRPr="008602DE">
        <w:rPr>
          <w:szCs w:val="24"/>
          <w:lang w:val="pl-PL"/>
        </w:rPr>
        <w:t>, określone</w:t>
      </w:r>
      <w:r w:rsidRPr="008602DE">
        <w:rPr>
          <w:szCs w:val="24"/>
          <w:lang w:val="pl-PL"/>
        </w:rPr>
        <w:t xml:space="preserve"> w niniejszym załączniku</w:t>
      </w:r>
      <w:r w:rsidR="00792BB8" w:rsidRPr="008602DE">
        <w:rPr>
          <w:szCs w:val="24"/>
          <w:lang w:val="pl-PL"/>
        </w:rPr>
        <w:t>,</w:t>
      </w:r>
      <w:r w:rsidRPr="008602DE">
        <w:rPr>
          <w:szCs w:val="24"/>
          <w:lang w:val="pl-PL"/>
        </w:rPr>
        <w:t xml:space="preserve"> są niezmienne i muszą pozostać bez zmian w trakcie całego okresu realizacji projektu.</w:t>
      </w:r>
      <w:r w:rsidR="00AD0F50" w:rsidRPr="008602DE">
        <w:rPr>
          <w:rStyle w:val="Znakapoznpodarou"/>
          <w:szCs w:val="24"/>
          <w:lang w:val="pl-PL"/>
        </w:rPr>
        <w:footnoteReference w:id="1"/>
      </w:r>
    </w:p>
    <w:p w14:paraId="3DF38D9A" w14:textId="77777777" w:rsidR="00277B18" w:rsidRPr="008602DE" w:rsidRDefault="00277B18" w:rsidP="001827C1">
      <w:pPr>
        <w:pStyle w:val="Nadpis3"/>
        <w:rPr>
          <w:lang w:val="pl-PL"/>
        </w:rPr>
      </w:pPr>
      <w:bookmarkStart w:id="5" w:name="_Toc434755110"/>
      <w:r w:rsidRPr="008602DE">
        <w:rPr>
          <w:lang w:val="pl-PL"/>
        </w:rPr>
        <w:t>Faktyczna wysokość dofinansowania</w:t>
      </w:r>
      <w:bookmarkEnd w:id="5"/>
    </w:p>
    <w:p w14:paraId="438C2A4E" w14:textId="77777777" w:rsidR="00277B18" w:rsidRPr="008602DE" w:rsidRDefault="00277B18" w:rsidP="00792BB8">
      <w:pPr>
        <w:jc w:val="both"/>
        <w:rPr>
          <w:lang w:val="pl-PL"/>
        </w:rPr>
      </w:pPr>
      <w:r w:rsidRPr="008602DE">
        <w:rPr>
          <w:szCs w:val="24"/>
          <w:lang w:val="pl-PL"/>
        </w:rPr>
        <w:t xml:space="preserve">Faktyczna wysokość dofinansowania, które przyznane zostanie </w:t>
      </w:r>
      <w:r w:rsidR="0047454E" w:rsidRPr="008602DE">
        <w:rPr>
          <w:szCs w:val="24"/>
          <w:lang w:val="pl-PL"/>
        </w:rPr>
        <w:t>Głównemu B</w:t>
      </w:r>
      <w:r w:rsidRPr="008602DE">
        <w:rPr>
          <w:szCs w:val="24"/>
          <w:lang w:val="pl-PL"/>
        </w:rPr>
        <w:t xml:space="preserve">eneficjentowi, określona zostanie </w:t>
      </w:r>
      <w:r w:rsidR="00792BB8" w:rsidRPr="008602DE">
        <w:rPr>
          <w:szCs w:val="24"/>
          <w:lang w:val="pl-PL"/>
        </w:rPr>
        <w:t>na podstawie faktycznie poniesionych, uzasadnionych</w:t>
      </w:r>
      <w:r w:rsidRPr="008602DE">
        <w:rPr>
          <w:szCs w:val="24"/>
          <w:lang w:val="pl-PL"/>
        </w:rPr>
        <w:t xml:space="preserve"> i </w:t>
      </w:r>
      <w:r w:rsidR="00792BB8" w:rsidRPr="008602DE">
        <w:rPr>
          <w:szCs w:val="24"/>
          <w:lang w:val="pl-PL"/>
        </w:rPr>
        <w:t>należycie wykazanych wydatków kwalifikowalnych</w:t>
      </w:r>
      <w:r w:rsidRPr="008602DE">
        <w:rPr>
          <w:szCs w:val="24"/>
          <w:lang w:val="pl-PL"/>
        </w:rPr>
        <w:t>, z pominięciem wydatków wykazywanych w sposób uproszczony</w:t>
      </w:r>
      <w:r w:rsidRPr="008602DE">
        <w:rPr>
          <w:rStyle w:val="Znakapoznpodarou"/>
          <w:snapToGrid w:val="0"/>
          <w:lang w:val="pl-PL"/>
        </w:rPr>
        <w:footnoteReference w:id="2"/>
      </w:r>
      <w:r w:rsidRPr="008602DE">
        <w:rPr>
          <w:szCs w:val="24"/>
          <w:lang w:val="pl-PL"/>
        </w:rPr>
        <w:t>. Faktyczna wysokość dofinansowania nie może przekroczyć maksymalnej wy</w:t>
      </w:r>
      <w:r w:rsidR="00792BB8" w:rsidRPr="008602DE">
        <w:rPr>
          <w:szCs w:val="24"/>
          <w:lang w:val="pl-PL"/>
        </w:rPr>
        <w:t>sokości dofinansowania określonej</w:t>
      </w:r>
      <w:r w:rsidRPr="008602DE">
        <w:rPr>
          <w:szCs w:val="24"/>
          <w:lang w:val="pl-PL"/>
        </w:rPr>
        <w:t xml:space="preserve"> w części I punkcie 2.1 niniejszej Decyzji.</w:t>
      </w:r>
    </w:p>
    <w:p w14:paraId="733FD89C" w14:textId="77777777" w:rsidR="00277B18" w:rsidRPr="008602DE" w:rsidRDefault="00277B18" w:rsidP="002B7FA0">
      <w:pPr>
        <w:pStyle w:val="Nadpis2"/>
      </w:pPr>
      <w:bookmarkStart w:id="6" w:name="_Toc434755111"/>
      <w:r w:rsidRPr="008602DE">
        <w:t xml:space="preserve">Cel </w:t>
      </w:r>
      <w:proofErr w:type="spellStart"/>
      <w:r w:rsidRPr="008602DE">
        <w:t>dofinansowania</w:t>
      </w:r>
      <w:bookmarkEnd w:id="6"/>
      <w:proofErr w:type="spellEnd"/>
    </w:p>
    <w:p w14:paraId="7365D68C" w14:textId="3747FF94" w:rsidR="00277B18" w:rsidRPr="008602DE" w:rsidRDefault="00277B18" w:rsidP="00792BB8">
      <w:pPr>
        <w:jc w:val="both"/>
        <w:rPr>
          <w:iCs/>
          <w:u w:val="single"/>
          <w:lang w:val="pl-PL"/>
        </w:rPr>
      </w:pPr>
      <w:r w:rsidRPr="008602DE">
        <w:rPr>
          <w:szCs w:val="24"/>
          <w:lang w:val="pl-PL"/>
        </w:rPr>
        <w:t>Celem dofinansowania jest realizacja projektu</w:t>
      </w:r>
      <w:r w:rsidRPr="008602DE">
        <w:rPr>
          <w:rStyle w:val="Znakapoznpodarou"/>
          <w:lang w:val="pl-PL"/>
        </w:rPr>
        <w:footnoteReference w:id="3"/>
      </w:r>
      <w:r w:rsidRPr="008602DE">
        <w:rPr>
          <w:szCs w:val="24"/>
          <w:lang w:val="pl-PL"/>
        </w:rPr>
        <w:t>...................</w:t>
      </w:r>
      <w:r w:rsidRPr="008602DE">
        <w:rPr>
          <w:i/>
          <w:iCs/>
          <w:szCs w:val="24"/>
          <w:lang w:val="pl-PL"/>
        </w:rPr>
        <w:t>.......(nazwa projektu, nr re</w:t>
      </w:r>
      <w:r w:rsidR="0027511A" w:rsidRPr="008602DE">
        <w:rPr>
          <w:i/>
          <w:iCs/>
          <w:szCs w:val="24"/>
          <w:lang w:val="pl-PL"/>
        </w:rPr>
        <w:t>j</w:t>
      </w:r>
      <w:r w:rsidRPr="008602DE">
        <w:rPr>
          <w:i/>
          <w:iCs/>
          <w:szCs w:val="24"/>
          <w:lang w:val="pl-PL"/>
        </w:rPr>
        <w:t xml:space="preserve">. w </w:t>
      </w:r>
      <w:r w:rsidR="00C93AC7" w:rsidRPr="008602DE">
        <w:rPr>
          <w:i/>
          <w:iCs/>
          <w:szCs w:val="24"/>
          <w:lang w:val="pl-PL"/>
        </w:rPr>
        <w:t>MS2021</w:t>
      </w:r>
      <w:r w:rsidRPr="008602DE">
        <w:rPr>
          <w:i/>
          <w:iCs/>
          <w:szCs w:val="24"/>
          <w:lang w:val="pl-PL"/>
        </w:rPr>
        <w:t>+),</w:t>
      </w:r>
      <w:r w:rsidRPr="008602DE">
        <w:rPr>
          <w:szCs w:val="24"/>
          <w:lang w:val="pl-PL"/>
        </w:rPr>
        <w:t xml:space="preserve">w ramach programu Interreg </w:t>
      </w:r>
      <w:r w:rsidR="00A10F52" w:rsidRPr="008602DE">
        <w:rPr>
          <w:szCs w:val="24"/>
          <w:lang w:val="pl-PL"/>
        </w:rPr>
        <w:t>Czechy</w:t>
      </w:r>
      <w:r w:rsidRPr="008602DE">
        <w:rPr>
          <w:szCs w:val="24"/>
          <w:lang w:val="pl-PL"/>
        </w:rPr>
        <w:t xml:space="preserve"> </w:t>
      </w:r>
      <w:r w:rsidR="00792BB8" w:rsidRPr="008602DE">
        <w:rPr>
          <w:szCs w:val="24"/>
          <w:lang w:val="pl-PL"/>
        </w:rPr>
        <w:t>–</w:t>
      </w:r>
      <w:r w:rsidRPr="008602DE">
        <w:rPr>
          <w:szCs w:val="24"/>
          <w:lang w:val="pl-PL"/>
        </w:rPr>
        <w:t xml:space="preserve"> Polska</w:t>
      </w:r>
      <w:r w:rsidR="009C119D" w:rsidRPr="008602DE">
        <w:rPr>
          <w:szCs w:val="24"/>
          <w:lang w:val="pl-PL"/>
        </w:rPr>
        <w:t xml:space="preserve"> 2021-2027</w:t>
      </w:r>
      <w:r w:rsidRPr="008602DE">
        <w:rPr>
          <w:szCs w:val="24"/>
          <w:lang w:val="pl-PL"/>
        </w:rPr>
        <w:t>,</w:t>
      </w:r>
      <w:r w:rsidR="00792BB8" w:rsidRPr="008602DE">
        <w:rPr>
          <w:szCs w:val="24"/>
          <w:lang w:val="pl-PL"/>
        </w:rPr>
        <w:t xml:space="preserve"> </w:t>
      </w:r>
      <w:r w:rsidRPr="008602DE">
        <w:rPr>
          <w:szCs w:val="24"/>
          <w:lang w:val="pl-PL"/>
        </w:rPr>
        <w:t>priorytetu....</w:t>
      </w:r>
      <w:r w:rsidR="00792BB8" w:rsidRPr="008602DE">
        <w:rPr>
          <w:szCs w:val="24"/>
          <w:lang w:val="pl-PL"/>
        </w:rPr>
        <w:t>.................. (dalej jako „projekt”</w:t>
      </w:r>
      <w:r w:rsidRPr="008602DE">
        <w:rPr>
          <w:szCs w:val="24"/>
          <w:lang w:val="pl-PL"/>
        </w:rPr>
        <w:t xml:space="preserve">). </w:t>
      </w:r>
    </w:p>
    <w:p w14:paraId="24E4BF0F" w14:textId="77777777" w:rsidR="00277B18" w:rsidRPr="008602DE" w:rsidRDefault="00277B18" w:rsidP="00792BB8">
      <w:pPr>
        <w:jc w:val="both"/>
        <w:rPr>
          <w:lang w:val="pl-PL"/>
        </w:rPr>
      </w:pPr>
    </w:p>
    <w:p w14:paraId="76826236" w14:textId="77777777" w:rsidR="00277B18" w:rsidRPr="008602DE" w:rsidRDefault="00277B18" w:rsidP="00792BB8">
      <w:pPr>
        <w:jc w:val="both"/>
        <w:rPr>
          <w:lang w:val="pl-PL"/>
        </w:rPr>
      </w:pPr>
      <w:r w:rsidRPr="008602DE">
        <w:rPr>
          <w:szCs w:val="24"/>
          <w:lang w:val="pl-PL"/>
        </w:rPr>
        <w:t>Szczegółowa specyfikacja projektu znajduje się w załączniku nr 2</w:t>
      </w:r>
      <w:r w:rsidR="00792BB8" w:rsidRPr="008602DE">
        <w:rPr>
          <w:szCs w:val="24"/>
          <w:lang w:val="pl-PL"/>
        </w:rPr>
        <w:t xml:space="preserve"> do</w:t>
      </w:r>
      <w:r w:rsidRPr="008602DE">
        <w:rPr>
          <w:szCs w:val="24"/>
          <w:lang w:val="pl-PL"/>
        </w:rPr>
        <w:t xml:space="preserve"> niniejszej Decyzji.</w:t>
      </w:r>
    </w:p>
    <w:p w14:paraId="02FEA190" w14:textId="77777777" w:rsidR="00277B18" w:rsidRPr="008602DE" w:rsidRDefault="00277B18" w:rsidP="00792BB8">
      <w:pPr>
        <w:jc w:val="both"/>
        <w:rPr>
          <w:lang w:val="pl-PL"/>
        </w:rPr>
      </w:pPr>
    </w:p>
    <w:p w14:paraId="7D88D32C" w14:textId="1528F01F" w:rsidR="00277B18" w:rsidRPr="008602DE" w:rsidRDefault="00277B18" w:rsidP="00792BB8">
      <w:pPr>
        <w:spacing w:after="240"/>
        <w:jc w:val="both"/>
        <w:rPr>
          <w:lang w:val="pl-PL"/>
        </w:rPr>
      </w:pPr>
      <w:r w:rsidRPr="008602DE">
        <w:rPr>
          <w:szCs w:val="24"/>
          <w:lang w:val="pl-PL"/>
        </w:rPr>
        <w:t xml:space="preserve">Przy realizacji celu dofinansowania </w:t>
      </w:r>
      <w:r w:rsidR="0047454E" w:rsidRPr="008602DE">
        <w:rPr>
          <w:szCs w:val="24"/>
          <w:lang w:val="pl-PL"/>
        </w:rPr>
        <w:t>Główny B</w:t>
      </w:r>
      <w:r w:rsidRPr="008602DE">
        <w:rPr>
          <w:szCs w:val="24"/>
          <w:lang w:val="pl-PL"/>
        </w:rPr>
        <w:t>eneficjent współpracuje z partnerami zdefiniowanymi w</w:t>
      </w:r>
      <w:r w:rsidR="0079589F" w:rsidRPr="008602DE">
        <w:rPr>
          <w:szCs w:val="24"/>
          <w:lang w:val="pl-PL"/>
        </w:rPr>
        <w:t xml:space="preserve">e wniosku </w:t>
      </w:r>
      <w:r w:rsidR="002B502F" w:rsidRPr="008602DE">
        <w:rPr>
          <w:szCs w:val="24"/>
          <w:lang w:val="pl-PL"/>
        </w:rPr>
        <w:t>projektowym</w:t>
      </w:r>
      <w:r w:rsidR="0079589F" w:rsidRPr="008602DE">
        <w:rPr>
          <w:szCs w:val="24"/>
          <w:lang w:val="pl-PL"/>
        </w:rPr>
        <w:t>.</w:t>
      </w:r>
      <w:r w:rsidRPr="008602DE">
        <w:rPr>
          <w:szCs w:val="24"/>
          <w:lang w:val="pl-PL"/>
        </w:rPr>
        <w:t xml:space="preserve"> Stosunki prawne między </w:t>
      </w:r>
      <w:r w:rsidR="0047454E" w:rsidRPr="008602DE">
        <w:rPr>
          <w:szCs w:val="24"/>
          <w:lang w:val="pl-PL"/>
        </w:rPr>
        <w:t>Głównym B</w:t>
      </w:r>
      <w:r w:rsidRPr="008602DE">
        <w:rPr>
          <w:szCs w:val="24"/>
          <w:lang w:val="pl-PL"/>
        </w:rPr>
        <w:t xml:space="preserve">eneficjentem a partnerami określone są w Umowie współpracy nad projektem realizowanym ze środków programu </w:t>
      </w:r>
      <w:r w:rsidR="0079589F" w:rsidRPr="008602DE">
        <w:rPr>
          <w:szCs w:val="24"/>
          <w:lang w:val="pl-PL"/>
        </w:rPr>
        <w:t>Czechy</w:t>
      </w:r>
      <w:r w:rsidRPr="008602DE">
        <w:rPr>
          <w:szCs w:val="24"/>
          <w:lang w:val="pl-PL"/>
        </w:rPr>
        <w:t xml:space="preserve"> </w:t>
      </w:r>
      <w:r w:rsidR="00792BB8" w:rsidRPr="008602DE">
        <w:rPr>
          <w:szCs w:val="24"/>
          <w:lang w:val="pl-PL"/>
        </w:rPr>
        <w:t>–</w:t>
      </w:r>
      <w:r w:rsidRPr="008602DE">
        <w:rPr>
          <w:szCs w:val="24"/>
          <w:lang w:val="pl-PL"/>
        </w:rPr>
        <w:t xml:space="preserve"> Polska</w:t>
      </w:r>
      <w:r w:rsidR="00792BB8" w:rsidRPr="008602DE">
        <w:rPr>
          <w:szCs w:val="24"/>
          <w:lang w:val="pl-PL"/>
        </w:rPr>
        <w:t xml:space="preserve"> </w:t>
      </w:r>
      <w:r w:rsidR="009C119D" w:rsidRPr="008602DE">
        <w:rPr>
          <w:szCs w:val="24"/>
          <w:lang w:val="pl-PL"/>
        </w:rPr>
        <w:t xml:space="preserve">2021-2027 </w:t>
      </w:r>
      <w:r w:rsidR="00792BB8" w:rsidRPr="008602DE">
        <w:rPr>
          <w:szCs w:val="24"/>
          <w:lang w:val="pl-PL"/>
        </w:rPr>
        <w:t>(dalej jako „Umowa współpracy”</w:t>
      </w:r>
      <w:r w:rsidRPr="008602DE">
        <w:rPr>
          <w:szCs w:val="24"/>
          <w:lang w:val="pl-PL"/>
        </w:rPr>
        <w:t>) w aktualnym brzmieniu, która została zawarta w dniu ...........</w:t>
      </w:r>
    </w:p>
    <w:p w14:paraId="051A323B" w14:textId="77777777" w:rsidR="00277B18" w:rsidRPr="008602DE" w:rsidRDefault="00277B18" w:rsidP="002B7FA0">
      <w:pPr>
        <w:pStyle w:val="Nadpis2"/>
      </w:pPr>
      <w:bookmarkStart w:id="7" w:name="_Toc434755112"/>
      <w:proofErr w:type="spellStart"/>
      <w:r w:rsidRPr="008602DE">
        <w:t>Termin</w:t>
      </w:r>
      <w:proofErr w:type="spellEnd"/>
      <w:r w:rsidRPr="008602DE">
        <w:t xml:space="preserve">, w </w:t>
      </w:r>
      <w:proofErr w:type="spellStart"/>
      <w:r w:rsidRPr="008602DE">
        <w:t>którym</w:t>
      </w:r>
      <w:proofErr w:type="spellEnd"/>
      <w:r w:rsidRPr="008602DE">
        <w:t xml:space="preserve"> </w:t>
      </w:r>
      <w:proofErr w:type="spellStart"/>
      <w:r w:rsidRPr="008602DE">
        <w:t>ma</w:t>
      </w:r>
      <w:proofErr w:type="spellEnd"/>
      <w:r w:rsidRPr="008602DE">
        <w:t xml:space="preserve"> </w:t>
      </w:r>
      <w:proofErr w:type="spellStart"/>
      <w:r w:rsidRPr="008602DE">
        <w:t>zostać</w:t>
      </w:r>
      <w:proofErr w:type="spellEnd"/>
      <w:r w:rsidRPr="008602DE">
        <w:t xml:space="preserve"> </w:t>
      </w:r>
      <w:proofErr w:type="spellStart"/>
      <w:r w:rsidRPr="008602DE">
        <w:t>osiągnięty</w:t>
      </w:r>
      <w:proofErr w:type="spellEnd"/>
      <w:r w:rsidRPr="008602DE">
        <w:t xml:space="preserve"> cel</w:t>
      </w:r>
      <w:bookmarkEnd w:id="7"/>
      <w:r w:rsidR="00792BB8" w:rsidRPr="008602DE">
        <w:t xml:space="preserve"> projektu</w:t>
      </w:r>
    </w:p>
    <w:p w14:paraId="5905B38F" w14:textId="77777777" w:rsidR="00277B18" w:rsidRPr="008602DE" w:rsidRDefault="00277B18" w:rsidP="00792BB8">
      <w:pPr>
        <w:jc w:val="both"/>
        <w:rPr>
          <w:lang w:val="pl-PL"/>
        </w:rPr>
      </w:pPr>
      <w:r w:rsidRPr="008602DE">
        <w:rPr>
          <w:szCs w:val="24"/>
          <w:lang w:val="pl-PL"/>
        </w:rPr>
        <w:t>Realizacja projektu musi zostać zakończona najpóźniej do: ................</w:t>
      </w:r>
    </w:p>
    <w:p w14:paraId="37C32AC9" w14:textId="0264B3DF" w:rsidR="00277B18" w:rsidRPr="008602DE" w:rsidRDefault="00277B18" w:rsidP="002B7FA0">
      <w:pPr>
        <w:pStyle w:val="Nadpis1"/>
        <w:ind w:left="0" w:hanging="1"/>
        <w:jc w:val="center"/>
        <w:rPr>
          <w:lang w:val="pl-PL"/>
        </w:rPr>
      </w:pPr>
      <w:bookmarkStart w:id="8" w:name="_Toc434755113"/>
      <w:r w:rsidRPr="008602DE">
        <w:rPr>
          <w:rFonts w:eastAsia="Cambria"/>
          <w:lang w:val="pl-PL"/>
        </w:rPr>
        <w:t xml:space="preserve">Obowiązki </w:t>
      </w:r>
      <w:r w:rsidR="0047454E" w:rsidRPr="008602DE">
        <w:rPr>
          <w:rFonts w:eastAsia="Cambria"/>
          <w:lang w:val="pl-PL"/>
        </w:rPr>
        <w:t>Głównego B</w:t>
      </w:r>
      <w:r w:rsidRPr="008602DE">
        <w:rPr>
          <w:rFonts w:eastAsia="Cambria"/>
          <w:lang w:val="pl-PL"/>
        </w:rPr>
        <w:t>eneficjenta dofinansowania</w:t>
      </w:r>
      <w:bookmarkEnd w:id="8"/>
    </w:p>
    <w:p w14:paraId="554D2880" w14:textId="77777777" w:rsidR="00277B18" w:rsidRPr="008602DE" w:rsidRDefault="00277B18" w:rsidP="002B7FA0">
      <w:pPr>
        <w:pStyle w:val="Nadpis2"/>
        <w:numPr>
          <w:ilvl w:val="1"/>
          <w:numId w:val="17"/>
        </w:numPr>
        <w:rPr>
          <w:snapToGrid w:val="0"/>
        </w:rPr>
      </w:pPr>
      <w:bookmarkStart w:id="9" w:name="_Toc434755114"/>
      <w:proofErr w:type="spellStart"/>
      <w:r w:rsidRPr="008602DE">
        <w:t>Wykorzystanie</w:t>
      </w:r>
      <w:proofErr w:type="spellEnd"/>
      <w:r w:rsidRPr="008602DE">
        <w:t xml:space="preserve"> </w:t>
      </w:r>
      <w:proofErr w:type="spellStart"/>
      <w:r w:rsidRPr="008602DE">
        <w:t>dofinansowania</w:t>
      </w:r>
      <w:proofErr w:type="spellEnd"/>
      <w:r w:rsidRPr="008602DE">
        <w:t xml:space="preserve"> </w:t>
      </w:r>
      <w:proofErr w:type="spellStart"/>
      <w:r w:rsidRPr="008602DE">
        <w:t>zgodnie</w:t>
      </w:r>
      <w:proofErr w:type="spellEnd"/>
      <w:r w:rsidRPr="008602DE">
        <w:t xml:space="preserve"> z </w:t>
      </w:r>
      <w:proofErr w:type="spellStart"/>
      <w:r w:rsidRPr="008602DE">
        <w:t>Decyzją</w:t>
      </w:r>
      <w:bookmarkEnd w:id="9"/>
      <w:proofErr w:type="spellEnd"/>
    </w:p>
    <w:p w14:paraId="0C179B48" w14:textId="2C58384F" w:rsidR="00277B18" w:rsidRPr="008602DE" w:rsidRDefault="0047454E" w:rsidP="00792BB8">
      <w:pPr>
        <w:jc w:val="both"/>
        <w:rPr>
          <w:lang w:val="pl-PL"/>
        </w:rPr>
      </w:pPr>
      <w:r w:rsidRPr="008602DE">
        <w:rPr>
          <w:szCs w:val="24"/>
          <w:lang w:val="pl-PL"/>
        </w:rPr>
        <w:t xml:space="preserve">Główny </w:t>
      </w:r>
      <w:r w:rsidR="00277B18" w:rsidRPr="008602DE">
        <w:rPr>
          <w:szCs w:val="24"/>
          <w:lang w:val="pl-PL"/>
        </w:rPr>
        <w:t>Beneficjent ma obowiązek wykorzysta</w:t>
      </w:r>
      <w:r w:rsidR="0027511A" w:rsidRPr="008602DE">
        <w:rPr>
          <w:szCs w:val="24"/>
          <w:lang w:val="pl-PL"/>
        </w:rPr>
        <w:t>nia go</w:t>
      </w:r>
      <w:r w:rsidR="00277B18" w:rsidRPr="008602DE">
        <w:rPr>
          <w:szCs w:val="24"/>
          <w:lang w:val="pl-PL"/>
        </w:rPr>
        <w:t xml:space="preserve"> zgodnie z niniejszą Decyzją.</w:t>
      </w:r>
    </w:p>
    <w:p w14:paraId="00ACD866" w14:textId="03234B05" w:rsidR="00277B18" w:rsidRPr="008602DE" w:rsidRDefault="00277B18" w:rsidP="002B7FA0">
      <w:pPr>
        <w:pStyle w:val="Nadpis2"/>
        <w:numPr>
          <w:ilvl w:val="1"/>
          <w:numId w:val="17"/>
        </w:numPr>
      </w:pPr>
      <w:bookmarkStart w:id="10" w:name="_Toc434755115"/>
      <w:proofErr w:type="spellStart"/>
      <w:r w:rsidRPr="008602DE">
        <w:t>Zrealizowanie</w:t>
      </w:r>
      <w:proofErr w:type="spellEnd"/>
      <w:r w:rsidRPr="008602DE">
        <w:t xml:space="preserve"> celu projektu</w:t>
      </w:r>
      <w:bookmarkEnd w:id="10"/>
    </w:p>
    <w:p w14:paraId="01F68039" w14:textId="0444BCE8" w:rsidR="00792BB8" w:rsidRPr="008602DE" w:rsidRDefault="0047454E" w:rsidP="00792BB8">
      <w:pPr>
        <w:jc w:val="both"/>
        <w:rPr>
          <w:szCs w:val="24"/>
          <w:lang w:val="pl-PL"/>
        </w:rPr>
      </w:pPr>
      <w:r w:rsidRPr="008602DE">
        <w:rPr>
          <w:szCs w:val="24"/>
          <w:lang w:val="pl-PL"/>
        </w:rPr>
        <w:t xml:space="preserve">Główny </w:t>
      </w:r>
      <w:r w:rsidR="00792BB8" w:rsidRPr="008602DE">
        <w:rPr>
          <w:szCs w:val="24"/>
          <w:lang w:val="pl-PL"/>
        </w:rPr>
        <w:t xml:space="preserve">Beneficjent </w:t>
      </w:r>
      <w:r w:rsidR="00277B18" w:rsidRPr="008602DE">
        <w:rPr>
          <w:szCs w:val="24"/>
          <w:lang w:val="pl-PL"/>
        </w:rPr>
        <w:t xml:space="preserve">ma obowiązek zrealizowania celu dofinansowania zdefiniowanego w części I punktu 3 niniejszej Decyzji, </w:t>
      </w:r>
      <w:r w:rsidR="00792BB8" w:rsidRPr="008602DE">
        <w:rPr>
          <w:szCs w:val="24"/>
          <w:lang w:val="pl-PL"/>
        </w:rPr>
        <w:t xml:space="preserve">w terminie określonym w części I, </w:t>
      </w:r>
      <w:r w:rsidR="007A2DA5" w:rsidRPr="008602DE">
        <w:rPr>
          <w:szCs w:val="24"/>
          <w:lang w:val="pl-PL"/>
        </w:rPr>
        <w:t>punkt</w:t>
      </w:r>
      <w:r w:rsidR="00792BB8" w:rsidRPr="008602DE">
        <w:rPr>
          <w:szCs w:val="24"/>
          <w:lang w:val="pl-PL"/>
        </w:rPr>
        <w:t xml:space="preserve"> 4 niniejszej Decyzji.</w:t>
      </w:r>
    </w:p>
    <w:p w14:paraId="68A1C2E7" w14:textId="77777777" w:rsidR="00277B18" w:rsidRPr="008602DE" w:rsidRDefault="00277B18" w:rsidP="002B7FA0">
      <w:pPr>
        <w:pStyle w:val="Nadpis2"/>
        <w:numPr>
          <w:ilvl w:val="1"/>
          <w:numId w:val="17"/>
        </w:numPr>
      </w:pPr>
      <w:bookmarkStart w:id="11" w:name="_Toc434755116"/>
      <w:proofErr w:type="spellStart"/>
      <w:r w:rsidRPr="008602DE">
        <w:lastRenderedPageBreak/>
        <w:t>Trwałość</w:t>
      </w:r>
      <w:proofErr w:type="spellEnd"/>
      <w:r w:rsidRPr="008602DE">
        <w:t xml:space="preserve"> projektu</w:t>
      </w:r>
      <w:bookmarkEnd w:id="11"/>
    </w:p>
    <w:p w14:paraId="20BF061A" w14:textId="77777777" w:rsidR="00277B18" w:rsidRPr="008602DE" w:rsidRDefault="00277B18" w:rsidP="00792BB8">
      <w:pPr>
        <w:ind w:firstLine="360"/>
        <w:jc w:val="both"/>
        <w:rPr>
          <w:i/>
          <w:lang w:val="pl-PL"/>
        </w:rPr>
      </w:pPr>
      <w:r w:rsidRPr="008602DE">
        <w:rPr>
          <w:i/>
          <w:iCs/>
          <w:lang w:val="pl-PL"/>
        </w:rPr>
        <w:t>Wariant 1</w:t>
      </w:r>
    </w:p>
    <w:p w14:paraId="3E4EB9CE" w14:textId="1BF727A6" w:rsidR="00D6349E" w:rsidRPr="008602DE" w:rsidRDefault="0047454E" w:rsidP="00D6349E">
      <w:pPr>
        <w:pStyle w:val="Zkladntext3"/>
        <w:widowControl w:val="0"/>
        <w:jc w:val="both"/>
        <w:rPr>
          <w:i/>
          <w:sz w:val="22"/>
          <w:szCs w:val="22"/>
          <w:lang w:val="pl-PL"/>
        </w:rPr>
      </w:pPr>
      <w:r w:rsidRPr="008602DE">
        <w:rPr>
          <w:i/>
          <w:iCs/>
          <w:sz w:val="22"/>
          <w:szCs w:val="22"/>
          <w:lang w:val="pl-PL"/>
        </w:rPr>
        <w:t xml:space="preserve">Główny </w:t>
      </w:r>
      <w:r w:rsidR="00277B18" w:rsidRPr="008602DE">
        <w:rPr>
          <w:i/>
          <w:iCs/>
          <w:sz w:val="22"/>
          <w:szCs w:val="22"/>
          <w:lang w:val="pl-PL"/>
        </w:rPr>
        <w:t>Beneficjent ma obowiązek zapewnić od strony merytorycznej</w:t>
      </w:r>
      <w:r w:rsidR="00D6349E" w:rsidRPr="008602DE">
        <w:rPr>
          <w:i/>
          <w:iCs/>
          <w:sz w:val="22"/>
          <w:szCs w:val="22"/>
          <w:lang w:val="pl-PL"/>
        </w:rPr>
        <w:t xml:space="preserve"> i finansowej</w:t>
      </w:r>
      <w:r w:rsidR="00277B18" w:rsidRPr="008602DE">
        <w:rPr>
          <w:i/>
          <w:iCs/>
          <w:sz w:val="22"/>
          <w:szCs w:val="22"/>
          <w:lang w:val="pl-PL"/>
        </w:rPr>
        <w:t>, aby cel do</w:t>
      </w:r>
      <w:r w:rsidR="00792BB8" w:rsidRPr="008602DE">
        <w:rPr>
          <w:i/>
          <w:iCs/>
          <w:sz w:val="22"/>
          <w:szCs w:val="22"/>
          <w:lang w:val="pl-PL"/>
        </w:rPr>
        <w:t>f</w:t>
      </w:r>
      <w:r w:rsidR="00277B18" w:rsidRPr="008602DE">
        <w:rPr>
          <w:i/>
          <w:iCs/>
          <w:sz w:val="22"/>
          <w:szCs w:val="22"/>
          <w:lang w:val="pl-PL"/>
        </w:rPr>
        <w:t>inansowania, określony w części I, punkcie 3 niniejszej Decyzji, był zgodn</w:t>
      </w:r>
      <w:r w:rsidR="00D6349E" w:rsidRPr="008602DE">
        <w:rPr>
          <w:i/>
          <w:iCs/>
          <w:sz w:val="22"/>
          <w:szCs w:val="22"/>
          <w:lang w:val="pl-PL"/>
        </w:rPr>
        <w:t>ie</w:t>
      </w:r>
      <w:r w:rsidR="00277B18" w:rsidRPr="008602DE">
        <w:rPr>
          <w:i/>
          <w:iCs/>
          <w:sz w:val="22"/>
          <w:szCs w:val="22"/>
          <w:lang w:val="pl-PL"/>
        </w:rPr>
        <w:t xml:space="preserve"> z rozdziałem </w:t>
      </w:r>
      <w:r w:rsidR="00BF78F4" w:rsidRPr="008602DE">
        <w:rPr>
          <w:i/>
          <w:iCs/>
          <w:sz w:val="22"/>
          <w:szCs w:val="22"/>
          <w:lang w:val="pl-PL"/>
        </w:rPr>
        <w:t xml:space="preserve"> </w:t>
      </w:r>
      <w:r w:rsidR="00277B18" w:rsidRPr="008602DE">
        <w:rPr>
          <w:i/>
          <w:iCs/>
          <w:sz w:val="22"/>
          <w:szCs w:val="22"/>
          <w:lang w:val="pl-PL"/>
        </w:rPr>
        <w:t xml:space="preserve">Podręcznika </w:t>
      </w:r>
      <w:r w:rsidR="007051EB" w:rsidRPr="008602DE">
        <w:rPr>
          <w:i/>
          <w:iCs/>
          <w:sz w:val="22"/>
          <w:szCs w:val="22"/>
          <w:lang w:val="pl-PL"/>
        </w:rPr>
        <w:t>W</w:t>
      </w:r>
      <w:r w:rsidR="00277B18" w:rsidRPr="008602DE">
        <w:rPr>
          <w:i/>
          <w:iCs/>
          <w:sz w:val="22"/>
          <w:szCs w:val="22"/>
          <w:lang w:val="pl-PL"/>
        </w:rPr>
        <w:t>nioskodawcy utrzymany</w:t>
      </w:r>
      <w:r w:rsidR="0027511A" w:rsidRPr="008602DE">
        <w:rPr>
          <w:i/>
          <w:iCs/>
          <w:sz w:val="22"/>
          <w:szCs w:val="22"/>
          <w:lang w:val="pl-PL"/>
        </w:rPr>
        <w:t xml:space="preserve"> </w:t>
      </w:r>
      <w:r w:rsidR="00277B18" w:rsidRPr="008602DE">
        <w:rPr>
          <w:i/>
          <w:iCs/>
          <w:sz w:val="22"/>
          <w:szCs w:val="22"/>
          <w:lang w:val="pl-PL"/>
        </w:rPr>
        <w:t xml:space="preserve">przez okres </w:t>
      </w:r>
      <w:r w:rsidR="00BF78F4" w:rsidRPr="008602DE">
        <w:rPr>
          <w:i/>
          <w:iCs/>
          <w:sz w:val="22"/>
          <w:szCs w:val="22"/>
          <w:lang w:val="pl-PL"/>
        </w:rPr>
        <w:t xml:space="preserve">5 lat </w:t>
      </w:r>
      <w:r w:rsidR="00277B18" w:rsidRPr="008602DE">
        <w:rPr>
          <w:i/>
          <w:iCs/>
          <w:sz w:val="22"/>
          <w:szCs w:val="22"/>
          <w:lang w:val="pl-PL"/>
        </w:rPr>
        <w:t xml:space="preserve">od daty </w:t>
      </w:r>
      <w:bookmarkStart w:id="12" w:name="_Hlk121338280"/>
      <w:r w:rsidR="00277B18" w:rsidRPr="008602DE">
        <w:rPr>
          <w:i/>
          <w:iCs/>
          <w:sz w:val="22"/>
          <w:szCs w:val="22"/>
          <w:lang w:val="pl-PL"/>
        </w:rPr>
        <w:t>przyjęcia</w:t>
      </w:r>
      <w:bookmarkEnd w:id="12"/>
      <w:r w:rsidR="00277B18" w:rsidRPr="008602DE">
        <w:rPr>
          <w:i/>
          <w:iCs/>
          <w:sz w:val="22"/>
          <w:szCs w:val="22"/>
          <w:lang w:val="pl-PL"/>
        </w:rPr>
        <w:t xml:space="preserve"> ostatniej płatności przez </w:t>
      </w:r>
      <w:r w:rsidRPr="008602DE">
        <w:rPr>
          <w:i/>
          <w:iCs/>
          <w:sz w:val="22"/>
          <w:szCs w:val="22"/>
          <w:lang w:val="pl-PL"/>
        </w:rPr>
        <w:t>Głównego B</w:t>
      </w:r>
      <w:r w:rsidR="00277B18" w:rsidRPr="008602DE">
        <w:rPr>
          <w:i/>
          <w:iCs/>
          <w:sz w:val="22"/>
          <w:szCs w:val="22"/>
          <w:lang w:val="pl-PL"/>
        </w:rPr>
        <w:t xml:space="preserve">eneficjenta. </w:t>
      </w:r>
    </w:p>
    <w:p w14:paraId="1E36DD26" w14:textId="77777777" w:rsidR="00277B18" w:rsidRPr="008602DE" w:rsidRDefault="00277B18" w:rsidP="00792BB8">
      <w:pPr>
        <w:pStyle w:val="Zkladntext3"/>
        <w:widowControl w:val="0"/>
        <w:ind w:left="426"/>
        <w:jc w:val="both"/>
        <w:rPr>
          <w:i/>
          <w:sz w:val="22"/>
          <w:szCs w:val="22"/>
          <w:lang w:val="pl-PL"/>
        </w:rPr>
      </w:pPr>
      <w:r w:rsidRPr="008602DE">
        <w:rPr>
          <w:i/>
          <w:iCs/>
          <w:sz w:val="22"/>
          <w:szCs w:val="22"/>
          <w:lang w:val="pl-PL"/>
        </w:rPr>
        <w:t>Wariant 2</w:t>
      </w:r>
    </w:p>
    <w:p w14:paraId="39CECBF4" w14:textId="77777777" w:rsidR="00277B18" w:rsidRPr="008602DE" w:rsidRDefault="00277B18" w:rsidP="001827C1">
      <w:pPr>
        <w:pStyle w:val="Zkladntext3"/>
        <w:widowControl w:val="0"/>
        <w:jc w:val="both"/>
        <w:rPr>
          <w:sz w:val="22"/>
          <w:szCs w:val="22"/>
          <w:lang w:val="pl-PL"/>
        </w:rPr>
      </w:pPr>
      <w:r w:rsidRPr="008602DE">
        <w:rPr>
          <w:i/>
          <w:iCs/>
          <w:sz w:val="22"/>
          <w:szCs w:val="22"/>
          <w:lang w:val="pl-PL"/>
        </w:rPr>
        <w:t xml:space="preserve">W przypadku </w:t>
      </w:r>
      <w:r w:rsidRPr="008602DE">
        <w:rPr>
          <w:i/>
          <w:sz w:val="22"/>
          <w:szCs w:val="22"/>
          <w:lang w:val="pl-PL"/>
        </w:rPr>
        <w:t>danego</w:t>
      </w:r>
      <w:r w:rsidRPr="008602DE">
        <w:rPr>
          <w:i/>
          <w:iCs/>
          <w:sz w:val="22"/>
          <w:szCs w:val="22"/>
          <w:lang w:val="pl-PL"/>
        </w:rPr>
        <w:t xml:space="preserve"> projektu nie ma zastosowania warunek trwałości.</w:t>
      </w:r>
    </w:p>
    <w:p w14:paraId="4D731E9D" w14:textId="77777777" w:rsidR="00277B18" w:rsidRPr="008602DE" w:rsidRDefault="00277B18" w:rsidP="002B7FA0">
      <w:pPr>
        <w:pStyle w:val="Nadpis2"/>
        <w:numPr>
          <w:ilvl w:val="1"/>
          <w:numId w:val="17"/>
        </w:numPr>
      </w:pPr>
      <w:bookmarkStart w:id="13" w:name="_Toc434755117"/>
      <w:proofErr w:type="spellStart"/>
      <w:r w:rsidRPr="008602DE">
        <w:t>Realizacja</w:t>
      </w:r>
      <w:proofErr w:type="spellEnd"/>
      <w:r w:rsidRPr="008602DE">
        <w:t xml:space="preserve"> </w:t>
      </w:r>
      <w:proofErr w:type="spellStart"/>
      <w:r w:rsidRPr="008602DE">
        <w:t>budżetu</w:t>
      </w:r>
      <w:proofErr w:type="spellEnd"/>
      <w:r w:rsidRPr="008602DE">
        <w:t xml:space="preserve"> projektu i harmonogramu </w:t>
      </w:r>
      <w:proofErr w:type="spellStart"/>
      <w:r w:rsidRPr="008602DE">
        <w:t>czasowego</w:t>
      </w:r>
      <w:bookmarkEnd w:id="13"/>
      <w:proofErr w:type="spellEnd"/>
    </w:p>
    <w:p w14:paraId="546A581B" w14:textId="1BBDB595" w:rsidR="00277B18" w:rsidRPr="008602DE" w:rsidRDefault="0047454E" w:rsidP="000B7DDC">
      <w:pPr>
        <w:pStyle w:val="Zkladntext3"/>
        <w:widowControl w:val="0"/>
        <w:numPr>
          <w:ilvl w:val="1"/>
          <w:numId w:val="13"/>
        </w:numPr>
        <w:ind w:left="567" w:hanging="567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 xml:space="preserve">Główny </w:t>
      </w:r>
      <w:r w:rsidR="00277B18" w:rsidRPr="008602DE">
        <w:rPr>
          <w:sz w:val="22"/>
          <w:szCs w:val="22"/>
          <w:lang w:val="pl-PL"/>
        </w:rPr>
        <w:t xml:space="preserve">Beneficjent ma obowiązek przeznaczenia dofinansowania na wydatki kwalifikowalne uwzględnione </w:t>
      </w:r>
      <w:r w:rsidR="00BC33B7" w:rsidRPr="008602DE">
        <w:rPr>
          <w:sz w:val="22"/>
          <w:szCs w:val="22"/>
          <w:lang w:val="pl-PL"/>
        </w:rPr>
        <w:t xml:space="preserve">w </w:t>
      </w:r>
      <w:r w:rsidR="00277B18" w:rsidRPr="008602DE">
        <w:rPr>
          <w:sz w:val="22"/>
          <w:szCs w:val="22"/>
          <w:lang w:val="pl-PL"/>
        </w:rPr>
        <w:t>budżecie projektu, który stanowi załącznik nr 3 do niniejszej Decyzji</w:t>
      </w:r>
      <w:r w:rsidR="0051275C" w:rsidRPr="008602DE">
        <w:rPr>
          <w:sz w:val="22"/>
          <w:szCs w:val="22"/>
          <w:lang w:val="pl-PL"/>
        </w:rPr>
        <w:t>, przy czym beneficjent</w:t>
      </w:r>
      <w:r w:rsidR="00277B18" w:rsidRPr="008602DE">
        <w:rPr>
          <w:sz w:val="22"/>
          <w:szCs w:val="22"/>
          <w:lang w:val="pl-PL"/>
        </w:rPr>
        <w:t xml:space="preserve"> ma obowiązek przestrzegania kwoty maksymalnej w poszczególnych liniach </w:t>
      </w:r>
      <w:r w:rsidR="00363B43" w:rsidRPr="008602DE">
        <w:rPr>
          <w:sz w:val="22"/>
          <w:szCs w:val="22"/>
          <w:lang w:val="pl-PL"/>
        </w:rPr>
        <w:t>budżetowych</w:t>
      </w:r>
      <w:r w:rsidR="00277B18" w:rsidRPr="008602DE">
        <w:rPr>
          <w:sz w:val="22"/>
          <w:szCs w:val="22"/>
          <w:lang w:val="pl-PL"/>
        </w:rPr>
        <w:t xml:space="preserve"> budżetu projektu.</w:t>
      </w:r>
    </w:p>
    <w:p w14:paraId="0EC2F34E" w14:textId="428D2FA5" w:rsidR="00277B18" w:rsidRPr="008602DE" w:rsidRDefault="00277B18" w:rsidP="000B7DDC">
      <w:pPr>
        <w:pStyle w:val="Zkladntext3"/>
        <w:widowControl w:val="0"/>
        <w:numPr>
          <w:ilvl w:val="1"/>
          <w:numId w:val="13"/>
        </w:numPr>
        <w:ind w:left="567" w:hanging="567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>Jeżeli w trakcie realizacji projektu zmienione zostaną kwoty m</w:t>
      </w:r>
      <w:r w:rsidR="0051275C" w:rsidRPr="008602DE">
        <w:rPr>
          <w:sz w:val="22"/>
          <w:szCs w:val="22"/>
          <w:lang w:val="pl-PL"/>
        </w:rPr>
        <w:t>aksymalne w budżecie któregokol</w:t>
      </w:r>
      <w:r w:rsidRPr="008602DE">
        <w:rPr>
          <w:sz w:val="22"/>
          <w:szCs w:val="22"/>
          <w:lang w:val="pl-PL"/>
        </w:rPr>
        <w:t xml:space="preserve">wiek z partnerów, </w:t>
      </w:r>
      <w:r w:rsidR="0047454E" w:rsidRPr="008602DE">
        <w:rPr>
          <w:sz w:val="22"/>
          <w:szCs w:val="22"/>
          <w:lang w:val="pl-PL"/>
        </w:rPr>
        <w:t>Główny B</w:t>
      </w:r>
      <w:r w:rsidRPr="008602DE">
        <w:rPr>
          <w:sz w:val="22"/>
          <w:szCs w:val="22"/>
          <w:lang w:val="pl-PL"/>
        </w:rPr>
        <w:t>eneficjent ma możliwość zwrócenia się z wnioskiem o za</w:t>
      </w:r>
      <w:r w:rsidR="0051275C" w:rsidRPr="008602DE">
        <w:rPr>
          <w:sz w:val="22"/>
          <w:szCs w:val="22"/>
          <w:lang w:val="pl-PL"/>
        </w:rPr>
        <w:t>twierdzenie tych zmian, przedstawiając</w:t>
      </w:r>
      <w:r w:rsidRPr="008602DE">
        <w:rPr>
          <w:sz w:val="22"/>
          <w:szCs w:val="22"/>
          <w:lang w:val="pl-PL"/>
        </w:rPr>
        <w:t xml:space="preserve"> do zatwierdzenia skorygowane budżety partnerów oraz skorygowany budżet ogólny projektu do Wspólnego Sekretariatu</w:t>
      </w:r>
      <w:r w:rsidR="007051EB" w:rsidRPr="008602DE">
        <w:rPr>
          <w:rStyle w:val="Znakapoznpodarou"/>
          <w:sz w:val="22"/>
          <w:szCs w:val="22"/>
          <w:lang w:val="pl-PL"/>
        </w:rPr>
        <w:footnoteReference w:id="4"/>
      </w:r>
      <w:r w:rsidRPr="008602DE">
        <w:rPr>
          <w:sz w:val="22"/>
          <w:szCs w:val="22"/>
          <w:lang w:val="pl-PL"/>
        </w:rPr>
        <w:t>. Jeżeli zmiany w budżecie na poziomie budżetu ogólnego projektu</w:t>
      </w:r>
      <w:r w:rsidR="0051275C" w:rsidRPr="008602DE">
        <w:rPr>
          <w:sz w:val="22"/>
          <w:szCs w:val="22"/>
          <w:lang w:val="pl-PL"/>
        </w:rPr>
        <w:t xml:space="preserve"> nie przekraczają limitu 15% każ</w:t>
      </w:r>
      <w:r w:rsidRPr="008602DE">
        <w:rPr>
          <w:sz w:val="22"/>
          <w:szCs w:val="22"/>
          <w:lang w:val="pl-PL"/>
        </w:rPr>
        <w:t xml:space="preserve">dej z linii </w:t>
      </w:r>
      <w:r w:rsidR="00363B43" w:rsidRPr="008602DE">
        <w:rPr>
          <w:sz w:val="22"/>
          <w:szCs w:val="22"/>
          <w:lang w:val="pl-PL"/>
        </w:rPr>
        <w:t>budżetowych</w:t>
      </w:r>
      <w:r w:rsidRPr="008602DE">
        <w:rPr>
          <w:rStyle w:val="Znakapoznpodarou"/>
          <w:sz w:val="22"/>
          <w:szCs w:val="22"/>
          <w:lang w:val="pl-PL"/>
        </w:rPr>
        <w:footnoteReference w:id="5"/>
      </w:r>
      <w:r w:rsidRPr="008602DE">
        <w:rPr>
          <w:sz w:val="22"/>
          <w:szCs w:val="22"/>
          <w:lang w:val="pl-PL"/>
        </w:rPr>
        <w:t xml:space="preserve">, których dotyczą zmiany, </w:t>
      </w:r>
      <w:r w:rsidR="00F85925" w:rsidRPr="008602DE">
        <w:rPr>
          <w:sz w:val="22"/>
          <w:szCs w:val="22"/>
          <w:lang w:val="pl-PL"/>
        </w:rPr>
        <w:t xml:space="preserve">lub kwotę 2000 EUR (obowiązuje wyższa z tych kwot), </w:t>
      </w:r>
      <w:r w:rsidRPr="008602DE">
        <w:rPr>
          <w:sz w:val="22"/>
          <w:szCs w:val="22"/>
          <w:lang w:val="pl-PL"/>
        </w:rPr>
        <w:t>zaś przesunięcie to nie będzie mieć wpływu na realizację celów projektu (celu dofinansowania), zdefiniowanego w części I punkcie 3 niniejszej D</w:t>
      </w:r>
      <w:r w:rsidR="0051275C" w:rsidRPr="008602DE">
        <w:rPr>
          <w:sz w:val="22"/>
          <w:szCs w:val="22"/>
          <w:lang w:val="pl-PL"/>
        </w:rPr>
        <w:t xml:space="preserve">ecyzji – w takim przypadku </w:t>
      </w:r>
      <w:r w:rsidRPr="008602DE">
        <w:rPr>
          <w:sz w:val="22"/>
          <w:szCs w:val="22"/>
          <w:lang w:val="pl-PL"/>
        </w:rPr>
        <w:t>nie ma obowiązku wprowadzania zmiany</w:t>
      </w:r>
      <w:r w:rsidR="0051275C" w:rsidRPr="008602DE">
        <w:rPr>
          <w:sz w:val="22"/>
          <w:szCs w:val="22"/>
          <w:lang w:val="pl-PL"/>
        </w:rPr>
        <w:t xml:space="preserve"> do</w:t>
      </w:r>
      <w:r w:rsidRPr="008602DE">
        <w:rPr>
          <w:sz w:val="22"/>
          <w:szCs w:val="22"/>
          <w:lang w:val="pl-PL"/>
        </w:rPr>
        <w:t xml:space="preserve"> De</w:t>
      </w:r>
      <w:r w:rsidR="0051275C" w:rsidRPr="008602DE">
        <w:rPr>
          <w:sz w:val="22"/>
          <w:szCs w:val="22"/>
          <w:lang w:val="pl-PL"/>
        </w:rPr>
        <w:t xml:space="preserve">cyzji. Wspólny Sekretariat ma wówczas </w:t>
      </w:r>
      <w:r w:rsidRPr="008602DE">
        <w:rPr>
          <w:sz w:val="22"/>
          <w:szCs w:val="22"/>
          <w:lang w:val="pl-PL"/>
        </w:rPr>
        <w:t>prawo</w:t>
      </w:r>
      <w:r w:rsidR="0051275C" w:rsidRPr="008602DE">
        <w:rPr>
          <w:sz w:val="22"/>
          <w:szCs w:val="22"/>
          <w:lang w:val="pl-PL"/>
        </w:rPr>
        <w:t xml:space="preserve"> do</w:t>
      </w:r>
      <w:r w:rsidRPr="008602DE">
        <w:rPr>
          <w:sz w:val="22"/>
          <w:szCs w:val="22"/>
          <w:lang w:val="pl-PL"/>
        </w:rPr>
        <w:t xml:space="preserve"> odrzucenia proponowanych zmian, jeżeli miałyby mieć one wpływ na warunki, na któryc</w:t>
      </w:r>
      <w:r w:rsidR="0051275C" w:rsidRPr="008602DE">
        <w:rPr>
          <w:sz w:val="22"/>
          <w:szCs w:val="22"/>
          <w:lang w:val="pl-PL"/>
        </w:rPr>
        <w:t xml:space="preserve">h projekt został zatwierdzony. </w:t>
      </w:r>
      <w:r w:rsidRPr="008602DE">
        <w:rPr>
          <w:sz w:val="22"/>
          <w:szCs w:val="22"/>
          <w:lang w:val="pl-PL"/>
        </w:rPr>
        <w:t xml:space="preserve">Jeżeli </w:t>
      </w:r>
      <w:r w:rsidR="0047454E" w:rsidRPr="008602DE">
        <w:rPr>
          <w:sz w:val="22"/>
          <w:szCs w:val="22"/>
          <w:lang w:val="pl-PL"/>
        </w:rPr>
        <w:t>Główny B</w:t>
      </w:r>
      <w:r w:rsidRPr="008602DE">
        <w:rPr>
          <w:sz w:val="22"/>
          <w:szCs w:val="22"/>
          <w:lang w:val="pl-PL"/>
        </w:rPr>
        <w:t xml:space="preserve">eneficjent nie zawnioskuje o </w:t>
      </w:r>
      <w:r w:rsidR="0051275C" w:rsidRPr="008602DE">
        <w:rPr>
          <w:sz w:val="22"/>
          <w:szCs w:val="22"/>
          <w:lang w:val="pl-PL"/>
        </w:rPr>
        <w:t>zmiany w budżecie lub jeżeli zm</w:t>
      </w:r>
      <w:r w:rsidRPr="008602DE">
        <w:rPr>
          <w:sz w:val="22"/>
          <w:szCs w:val="22"/>
          <w:lang w:val="pl-PL"/>
        </w:rPr>
        <w:t>i</w:t>
      </w:r>
      <w:r w:rsidR="0051275C" w:rsidRPr="008602DE">
        <w:rPr>
          <w:sz w:val="22"/>
          <w:szCs w:val="22"/>
          <w:lang w:val="pl-PL"/>
        </w:rPr>
        <w:t xml:space="preserve">any te nie zostaną zatwierdzone, </w:t>
      </w:r>
      <w:r w:rsidRPr="008602DE">
        <w:rPr>
          <w:sz w:val="22"/>
          <w:szCs w:val="22"/>
          <w:lang w:val="pl-PL"/>
        </w:rPr>
        <w:t>górne limity wydatków kwalifikowalnych w poszczególnych</w:t>
      </w:r>
      <w:r w:rsidR="0051275C" w:rsidRPr="008602DE">
        <w:rPr>
          <w:sz w:val="22"/>
          <w:szCs w:val="22"/>
          <w:lang w:val="pl-PL"/>
        </w:rPr>
        <w:t xml:space="preserve"> liniach </w:t>
      </w:r>
      <w:r w:rsidR="00363B43" w:rsidRPr="008602DE">
        <w:rPr>
          <w:sz w:val="22"/>
          <w:szCs w:val="22"/>
          <w:lang w:val="pl-PL"/>
        </w:rPr>
        <w:t>budżetowych</w:t>
      </w:r>
      <w:r w:rsidR="0051275C" w:rsidRPr="008602DE">
        <w:rPr>
          <w:sz w:val="22"/>
          <w:szCs w:val="22"/>
          <w:lang w:val="pl-PL"/>
        </w:rPr>
        <w:t xml:space="preserve"> dane będą</w:t>
      </w:r>
      <w:r w:rsidRPr="008602DE">
        <w:rPr>
          <w:sz w:val="22"/>
          <w:szCs w:val="22"/>
          <w:lang w:val="pl-PL"/>
        </w:rPr>
        <w:t xml:space="preserve"> przez aktualnie obowiązujący budżet projektu </w:t>
      </w:r>
      <w:r w:rsidR="0051275C" w:rsidRPr="008602DE">
        <w:rPr>
          <w:sz w:val="22"/>
          <w:szCs w:val="22"/>
          <w:lang w:val="pl-PL"/>
        </w:rPr>
        <w:t xml:space="preserve">/ partnera i nie </w:t>
      </w:r>
      <w:r w:rsidR="00363B43" w:rsidRPr="008602DE">
        <w:rPr>
          <w:sz w:val="22"/>
          <w:szCs w:val="22"/>
          <w:lang w:val="pl-PL"/>
        </w:rPr>
        <w:t>mogą zostać przekroczone</w:t>
      </w:r>
      <w:r w:rsidR="0051275C" w:rsidRPr="008602DE">
        <w:rPr>
          <w:sz w:val="22"/>
          <w:szCs w:val="22"/>
          <w:lang w:val="pl-PL"/>
        </w:rPr>
        <w:t xml:space="preserve"> nawet w sytuacji, gdy</w:t>
      </w:r>
      <w:r w:rsidRPr="008602DE">
        <w:rPr>
          <w:sz w:val="22"/>
          <w:szCs w:val="22"/>
          <w:lang w:val="pl-PL"/>
        </w:rPr>
        <w:t xml:space="preserve"> ich przekroczenie nie prowadziłoby do przekroczenia</w:t>
      </w:r>
      <w:r w:rsidR="0051275C" w:rsidRPr="008602DE">
        <w:rPr>
          <w:sz w:val="22"/>
          <w:szCs w:val="22"/>
          <w:lang w:val="pl-PL"/>
        </w:rPr>
        <w:t xml:space="preserve"> całkowitej</w:t>
      </w:r>
      <w:r w:rsidRPr="008602DE">
        <w:rPr>
          <w:sz w:val="22"/>
          <w:szCs w:val="22"/>
          <w:lang w:val="pl-PL"/>
        </w:rPr>
        <w:t xml:space="preserve"> kwoty wydatków kwalifikowalnych </w:t>
      </w:r>
      <w:r w:rsidR="0051275C" w:rsidRPr="008602DE">
        <w:rPr>
          <w:sz w:val="22"/>
          <w:szCs w:val="22"/>
          <w:lang w:val="pl-PL"/>
        </w:rPr>
        <w:t>na poziomie projektu.</w:t>
      </w:r>
    </w:p>
    <w:p w14:paraId="67FCB599" w14:textId="52516DA2" w:rsidR="00277B18" w:rsidRPr="008602DE" w:rsidRDefault="0047454E" w:rsidP="000B7DDC">
      <w:pPr>
        <w:pStyle w:val="Zkladntext3"/>
        <w:widowControl w:val="0"/>
        <w:numPr>
          <w:ilvl w:val="1"/>
          <w:numId w:val="13"/>
        </w:numPr>
        <w:ind w:left="567" w:hanging="567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 xml:space="preserve">Główny </w:t>
      </w:r>
      <w:r w:rsidR="00277B18" w:rsidRPr="008602DE">
        <w:rPr>
          <w:sz w:val="22"/>
          <w:szCs w:val="22"/>
          <w:lang w:val="pl-PL"/>
        </w:rPr>
        <w:t xml:space="preserve">Beneficjent w trakcie realizacji projektu i korzystania z </w:t>
      </w:r>
      <w:r w:rsidR="0051275C" w:rsidRPr="008602DE">
        <w:rPr>
          <w:sz w:val="22"/>
          <w:szCs w:val="22"/>
          <w:lang w:val="pl-PL"/>
        </w:rPr>
        <w:t>dofinansowania zobowią</w:t>
      </w:r>
      <w:r w:rsidR="00277B18" w:rsidRPr="008602DE">
        <w:rPr>
          <w:sz w:val="22"/>
          <w:szCs w:val="22"/>
          <w:lang w:val="pl-PL"/>
        </w:rPr>
        <w:t>zany jest do przestrzegania harmonogramu czasowego</w:t>
      </w:r>
      <w:r w:rsidR="00277B18" w:rsidRPr="008602DE">
        <w:rPr>
          <w:rStyle w:val="Znakapoznpodarou"/>
          <w:sz w:val="22"/>
          <w:szCs w:val="22"/>
          <w:lang w:val="pl-PL"/>
        </w:rPr>
        <w:footnoteReference w:id="6"/>
      </w:r>
      <w:r w:rsidR="00277B18" w:rsidRPr="008602DE">
        <w:rPr>
          <w:sz w:val="22"/>
          <w:szCs w:val="22"/>
          <w:lang w:val="pl-PL"/>
        </w:rPr>
        <w:t xml:space="preserve">, który stanowi załącznik nr </w:t>
      </w:r>
      <w:r w:rsidR="000670DC" w:rsidRPr="008602DE">
        <w:rPr>
          <w:sz w:val="22"/>
          <w:szCs w:val="22"/>
          <w:lang w:val="pl-PL"/>
        </w:rPr>
        <w:t>5</w:t>
      </w:r>
      <w:r w:rsidR="00277B18" w:rsidRPr="008602DE">
        <w:rPr>
          <w:sz w:val="22"/>
          <w:szCs w:val="22"/>
          <w:lang w:val="pl-PL"/>
        </w:rPr>
        <w:t xml:space="preserve"> do niniejszej Decyzji.</w:t>
      </w:r>
    </w:p>
    <w:p w14:paraId="64CFAC9C" w14:textId="30088272" w:rsidR="00277B18" w:rsidRPr="008602DE" w:rsidRDefault="00277B18" w:rsidP="000B7DDC">
      <w:pPr>
        <w:pStyle w:val="Zkladntext3"/>
        <w:widowControl w:val="0"/>
        <w:numPr>
          <w:ilvl w:val="1"/>
          <w:numId w:val="13"/>
        </w:numPr>
        <w:ind w:left="567" w:hanging="567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 xml:space="preserve">Jeżeli zajdzie taka potrzeba, </w:t>
      </w:r>
      <w:r w:rsidR="0047454E" w:rsidRPr="008602DE">
        <w:rPr>
          <w:sz w:val="22"/>
          <w:szCs w:val="22"/>
          <w:lang w:val="pl-PL"/>
        </w:rPr>
        <w:t>Główny B</w:t>
      </w:r>
      <w:r w:rsidRPr="008602DE">
        <w:rPr>
          <w:sz w:val="22"/>
          <w:szCs w:val="22"/>
          <w:lang w:val="pl-PL"/>
        </w:rPr>
        <w:t>eneficjent składa wniosek o zmianę harmonogramu do Wspólnego Sek</w:t>
      </w:r>
      <w:r w:rsidR="0051275C" w:rsidRPr="008602DE">
        <w:rPr>
          <w:sz w:val="22"/>
          <w:szCs w:val="22"/>
          <w:lang w:val="pl-PL"/>
        </w:rPr>
        <w:t>retariatu, który następnie wnos</w:t>
      </w:r>
      <w:r w:rsidR="00363B43" w:rsidRPr="008602DE">
        <w:rPr>
          <w:sz w:val="22"/>
          <w:szCs w:val="22"/>
          <w:lang w:val="pl-PL"/>
        </w:rPr>
        <w:t>i</w:t>
      </w:r>
      <w:r w:rsidRPr="008602DE">
        <w:rPr>
          <w:sz w:val="22"/>
          <w:szCs w:val="22"/>
          <w:lang w:val="pl-PL"/>
        </w:rPr>
        <w:t xml:space="preserve"> o </w:t>
      </w:r>
      <w:r w:rsidR="00363B43" w:rsidRPr="008602DE">
        <w:rPr>
          <w:sz w:val="22"/>
          <w:szCs w:val="22"/>
          <w:lang w:val="pl-PL"/>
        </w:rPr>
        <w:t xml:space="preserve">jego </w:t>
      </w:r>
      <w:r w:rsidRPr="008602DE">
        <w:rPr>
          <w:sz w:val="22"/>
          <w:szCs w:val="22"/>
          <w:lang w:val="pl-PL"/>
        </w:rPr>
        <w:t xml:space="preserve">zaopiniowanie </w:t>
      </w:r>
      <w:r w:rsidR="00363B43" w:rsidRPr="008602DE">
        <w:rPr>
          <w:sz w:val="22"/>
          <w:szCs w:val="22"/>
          <w:lang w:val="pl-PL"/>
        </w:rPr>
        <w:t>przez</w:t>
      </w:r>
      <w:r w:rsidR="0051275C" w:rsidRPr="008602DE">
        <w:rPr>
          <w:sz w:val="22"/>
          <w:szCs w:val="22"/>
          <w:lang w:val="pl-PL"/>
        </w:rPr>
        <w:t xml:space="preserve"> odpowiedniego Kontrolera.</w:t>
      </w:r>
    </w:p>
    <w:p w14:paraId="0E1DCA72" w14:textId="77777777" w:rsidR="00277B18" w:rsidRPr="008602DE" w:rsidRDefault="00277B18" w:rsidP="002B7FA0">
      <w:pPr>
        <w:pStyle w:val="Nadpis2"/>
      </w:pPr>
      <w:bookmarkStart w:id="14" w:name="_Toc434755118"/>
      <w:proofErr w:type="spellStart"/>
      <w:r w:rsidRPr="008602DE">
        <w:lastRenderedPageBreak/>
        <w:t>Wydatki</w:t>
      </w:r>
      <w:proofErr w:type="spellEnd"/>
      <w:r w:rsidRPr="008602DE">
        <w:t xml:space="preserve"> </w:t>
      </w:r>
      <w:proofErr w:type="spellStart"/>
      <w:r w:rsidRPr="008602DE">
        <w:t>kwalifikowalne</w:t>
      </w:r>
      <w:bookmarkEnd w:id="14"/>
      <w:proofErr w:type="spellEnd"/>
    </w:p>
    <w:p w14:paraId="4B31A565" w14:textId="62DC1700" w:rsidR="002C01EB" w:rsidRPr="008602DE" w:rsidRDefault="00277B18" w:rsidP="000B7DDC">
      <w:pPr>
        <w:pStyle w:val="Zkladntext3"/>
        <w:widowControl w:val="0"/>
        <w:numPr>
          <w:ilvl w:val="1"/>
          <w:numId w:val="7"/>
        </w:numPr>
        <w:ind w:left="567" w:hanging="573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 xml:space="preserve">Dofinansowanie przeznaczone jest wyłącznie na pokrycie wydatków kwalifikowalnych. Wydatki kwalifikowalne </w:t>
      </w:r>
      <w:r w:rsidR="00363B43" w:rsidRPr="008602DE">
        <w:rPr>
          <w:sz w:val="22"/>
          <w:szCs w:val="22"/>
          <w:lang w:val="pl-PL"/>
        </w:rPr>
        <w:t>określone zostały</w:t>
      </w:r>
      <w:r w:rsidR="002C01EB" w:rsidRPr="008602DE">
        <w:rPr>
          <w:sz w:val="22"/>
          <w:szCs w:val="22"/>
          <w:lang w:val="pl-PL"/>
        </w:rPr>
        <w:t xml:space="preserve"> w</w:t>
      </w:r>
      <w:r w:rsidRPr="008602DE">
        <w:rPr>
          <w:sz w:val="22"/>
          <w:szCs w:val="22"/>
          <w:lang w:val="pl-PL"/>
        </w:rPr>
        <w:t>:</w:t>
      </w:r>
    </w:p>
    <w:p w14:paraId="4AA2F420" w14:textId="115838A2" w:rsidR="002C01EB" w:rsidRPr="008602DE" w:rsidRDefault="002C01EB" w:rsidP="001827C1">
      <w:pPr>
        <w:pStyle w:val="Normlnsodrkami"/>
        <w:numPr>
          <w:ilvl w:val="0"/>
          <w:numId w:val="3"/>
        </w:numPr>
        <w:tabs>
          <w:tab w:val="clear" w:pos="720"/>
        </w:tabs>
        <w:ind w:left="1134"/>
        <w:rPr>
          <w:szCs w:val="22"/>
          <w:lang w:val="pl-PL"/>
        </w:rPr>
      </w:pPr>
      <w:r w:rsidRPr="008602DE">
        <w:rPr>
          <w:szCs w:val="22"/>
          <w:lang w:val="pl-PL"/>
        </w:rPr>
        <w:t>Rozporządzeniu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 Dziennik Urzędowy Unii Europejskiej L 231/159</w:t>
      </w:r>
      <w:r w:rsidR="009B713D" w:rsidRPr="008602DE">
        <w:rPr>
          <w:szCs w:val="22"/>
          <w:lang w:val="pl-PL"/>
        </w:rPr>
        <w:t xml:space="preserve"> (Rozporządzenie ogólne)</w:t>
      </w:r>
      <w:r w:rsidRPr="008602DE">
        <w:rPr>
          <w:szCs w:val="22"/>
          <w:lang w:val="pl-PL"/>
        </w:rPr>
        <w:t>;</w:t>
      </w:r>
    </w:p>
    <w:p w14:paraId="687C40B2" w14:textId="4D2144F8" w:rsidR="002C01EB" w:rsidRPr="008602DE" w:rsidRDefault="002C01EB" w:rsidP="001827C1">
      <w:pPr>
        <w:pStyle w:val="Normlnsodrkami"/>
        <w:numPr>
          <w:ilvl w:val="0"/>
          <w:numId w:val="3"/>
        </w:numPr>
        <w:tabs>
          <w:tab w:val="clear" w:pos="720"/>
        </w:tabs>
        <w:ind w:left="1134"/>
        <w:rPr>
          <w:szCs w:val="22"/>
          <w:lang w:val="pl-PL"/>
        </w:rPr>
      </w:pPr>
      <w:r w:rsidRPr="008602DE">
        <w:rPr>
          <w:szCs w:val="22"/>
          <w:lang w:val="pl-PL"/>
        </w:rPr>
        <w:t>Rozporządzeniu Parlamentu Europejskiego i Rady (UE) nr 2021/1058 z dnia 24 czerwca 2021 r. w sprawie Europejskiego Funduszu Rozwoju Regionalnego i Funduszu Spójności, Dziennik Urzędowy Unii Europejskiej L 231/60</w:t>
      </w:r>
      <w:r w:rsidR="00FC6EF5" w:rsidRPr="008602DE">
        <w:rPr>
          <w:szCs w:val="22"/>
          <w:lang w:val="pl-PL"/>
        </w:rPr>
        <w:t xml:space="preserve"> (Rozporządzenie EFRR)</w:t>
      </w:r>
      <w:r w:rsidRPr="008602DE">
        <w:rPr>
          <w:szCs w:val="22"/>
          <w:lang w:val="pl-PL"/>
        </w:rPr>
        <w:t>;</w:t>
      </w:r>
    </w:p>
    <w:p w14:paraId="01CADB0A" w14:textId="5CBDB477" w:rsidR="002C01EB" w:rsidRPr="008602DE" w:rsidRDefault="002C01EB" w:rsidP="001827C1">
      <w:pPr>
        <w:pStyle w:val="Normlnsodrkami"/>
        <w:numPr>
          <w:ilvl w:val="0"/>
          <w:numId w:val="3"/>
        </w:numPr>
        <w:tabs>
          <w:tab w:val="clear" w:pos="720"/>
        </w:tabs>
        <w:ind w:left="1134"/>
        <w:rPr>
          <w:szCs w:val="22"/>
          <w:lang w:val="pl-PL"/>
        </w:rPr>
      </w:pPr>
      <w:r w:rsidRPr="008602DE">
        <w:rPr>
          <w:szCs w:val="22"/>
          <w:lang w:val="pl-PL"/>
        </w:rPr>
        <w:t>Rozporządzeniu Parlamentu Europejskiego i Rady (UE) nr 2021/1059 z dnia 24 czerwca 2021 r. sprawie przepisów szczegółowych dotyczących celu „Europejska współpraca terytorialna” (Interreg) wspieranego w ramach Europejskiego Funduszu Rozwoju Regionalnego oraz instrumentów finansowania zewnętrznego, Dziennik Urzędowy Unii Europejskiej L 231/94</w:t>
      </w:r>
      <w:r w:rsidR="00C33E06" w:rsidRPr="008602DE">
        <w:rPr>
          <w:szCs w:val="22"/>
          <w:lang w:val="pl-PL"/>
        </w:rPr>
        <w:t xml:space="preserve"> </w:t>
      </w:r>
      <w:r w:rsidR="00C33E06" w:rsidRPr="008602DE">
        <w:rPr>
          <w:lang w:val="pl-PL"/>
        </w:rPr>
        <w:t>(Rozporządzenie Interreg)</w:t>
      </w:r>
      <w:r w:rsidRPr="008602DE">
        <w:rPr>
          <w:szCs w:val="22"/>
          <w:lang w:val="pl-PL"/>
        </w:rPr>
        <w:t>,</w:t>
      </w:r>
    </w:p>
    <w:p w14:paraId="70E231C9" w14:textId="4CD157EB" w:rsidR="007051EB" w:rsidRPr="008602DE" w:rsidRDefault="007051EB" w:rsidP="001827C1">
      <w:pPr>
        <w:pStyle w:val="Normlnsodrkami"/>
        <w:numPr>
          <w:ilvl w:val="0"/>
          <w:numId w:val="3"/>
        </w:numPr>
        <w:tabs>
          <w:tab w:val="clear" w:pos="720"/>
        </w:tabs>
        <w:ind w:left="1134"/>
        <w:rPr>
          <w:szCs w:val="22"/>
          <w:lang w:val="pl-PL"/>
        </w:rPr>
      </w:pPr>
      <w:r w:rsidRPr="008602DE">
        <w:rPr>
          <w:szCs w:val="22"/>
          <w:lang w:val="pl-PL"/>
        </w:rPr>
        <w:t>w</w:t>
      </w:r>
      <w:r w:rsidR="00277B18" w:rsidRPr="008602DE">
        <w:rPr>
          <w:szCs w:val="22"/>
          <w:lang w:val="pl-PL"/>
        </w:rPr>
        <w:t xml:space="preserve"> </w:t>
      </w:r>
      <w:r w:rsidR="008303EA" w:rsidRPr="008602DE">
        <w:rPr>
          <w:szCs w:val="22"/>
          <w:lang w:val="pl-PL"/>
        </w:rPr>
        <w:t xml:space="preserve">aktualnym </w:t>
      </w:r>
      <w:r w:rsidR="00277B18" w:rsidRPr="008602DE">
        <w:rPr>
          <w:szCs w:val="22"/>
          <w:lang w:val="pl-PL"/>
        </w:rPr>
        <w:t xml:space="preserve">Podręczniku </w:t>
      </w:r>
      <w:r w:rsidRPr="008602DE">
        <w:rPr>
          <w:szCs w:val="22"/>
          <w:lang w:val="pl-PL"/>
        </w:rPr>
        <w:t>W</w:t>
      </w:r>
      <w:r w:rsidR="00277B18" w:rsidRPr="008602DE">
        <w:rPr>
          <w:szCs w:val="22"/>
          <w:lang w:val="pl-PL"/>
        </w:rPr>
        <w:t>nioskodawcy</w:t>
      </w:r>
      <w:r w:rsidR="008303EA" w:rsidRPr="008602DE">
        <w:rPr>
          <w:szCs w:val="22"/>
          <w:lang w:val="pl-PL"/>
        </w:rPr>
        <w:t xml:space="preserve"> Programu</w:t>
      </w:r>
      <w:r w:rsidR="00277B18" w:rsidRPr="008602DE">
        <w:rPr>
          <w:szCs w:val="22"/>
          <w:lang w:val="pl-PL"/>
        </w:rPr>
        <w:t xml:space="preserve"> Interreg </w:t>
      </w:r>
      <w:r w:rsidR="00190D79" w:rsidRPr="008602DE">
        <w:rPr>
          <w:szCs w:val="22"/>
          <w:lang w:val="pl-PL"/>
        </w:rPr>
        <w:t>Czechy</w:t>
      </w:r>
      <w:r w:rsidR="00277B18" w:rsidRPr="008602DE">
        <w:rPr>
          <w:szCs w:val="22"/>
          <w:lang w:val="pl-PL"/>
        </w:rPr>
        <w:t xml:space="preserve"> </w:t>
      </w:r>
      <w:r w:rsidR="0051275C" w:rsidRPr="008602DE">
        <w:rPr>
          <w:szCs w:val="22"/>
          <w:lang w:val="pl-PL"/>
        </w:rPr>
        <w:t>–</w:t>
      </w:r>
      <w:r w:rsidR="00277B18" w:rsidRPr="008602DE">
        <w:rPr>
          <w:szCs w:val="22"/>
          <w:lang w:val="pl-PL"/>
        </w:rPr>
        <w:t xml:space="preserve"> Polska</w:t>
      </w:r>
      <w:r w:rsidR="00F423D7" w:rsidRPr="008602DE">
        <w:rPr>
          <w:szCs w:val="22"/>
          <w:lang w:val="pl-PL"/>
        </w:rPr>
        <w:t xml:space="preserve"> 2021-2027</w:t>
      </w:r>
      <w:r w:rsidRPr="008602DE">
        <w:rPr>
          <w:szCs w:val="22"/>
          <w:lang w:val="pl-PL"/>
        </w:rPr>
        <w:t>,</w:t>
      </w:r>
    </w:p>
    <w:p w14:paraId="1933FB35" w14:textId="4BD7B16F" w:rsidR="00277B18" w:rsidRPr="008602DE" w:rsidRDefault="007051EB" w:rsidP="001827C1">
      <w:pPr>
        <w:pStyle w:val="Normlnsodrkami"/>
        <w:numPr>
          <w:ilvl w:val="0"/>
          <w:numId w:val="3"/>
        </w:numPr>
        <w:tabs>
          <w:tab w:val="clear" w:pos="720"/>
        </w:tabs>
        <w:ind w:left="1134"/>
        <w:rPr>
          <w:szCs w:val="22"/>
          <w:lang w:val="pl-PL"/>
        </w:rPr>
      </w:pPr>
      <w:r w:rsidRPr="008602DE">
        <w:rPr>
          <w:szCs w:val="22"/>
          <w:lang w:val="pl-PL"/>
        </w:rPr>
        <w:t>na podstawie specyficznych warunków danego naboru projektów</w:t>
      </w:r>
      <w:r w:rsidR="00277B18" w:rsidRPr="008602DE">
        <w:rPr>
          <w:szCs w:val="22"/>
          <w:lang w:val="pl-PL"/>
        </w:rPr>
        <w:t>.</w:t>
      </w:r>
    </w:p>
    <w:p w14:paraId="70F7406A" w14:textId="18E7B38D" w:rsidR="00277B18" w:rsidRPr="008602DE" w:rsidRDefault="0047454E" w:rsidP="000B7DDC">
      <w:pPr>
        <w:pStyle w:val="Zkladntext3"/>
        <w:widowControl w:val="0"/>
        <w:numPr>
          <w:ilvl w:val="1"/>
          <w:numId w:val="7"/>
        </w:numPr>
        <w:ind w:left="567" w:hanging="573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 xml:space="preserve">Główny </w:t>
      </w:r>
      <w:r w:rsidR="00277B18" w:rsidRPr="008602DE">
        <w:rPr>
          <w:sz w:val="22"/>
          <w:szCs w:val="22"/>
          <w:lang w:val="pl-PL"/>
        </w:rPr>
        <w:t>Beneficjent może we wniosku o płatność wnioskować o pokrycie tylko tej części wydatków kwalifikowalnych, które zostały zatwierdzone jako kwalifikowalne przez or</w:t>
      </w:r>
      <w:r w:rsidR="0051275C" w:rsidRPr="008602DE">
        <w:rPr>
          <w:sz w:val="22"/>
          <w:szCs w:val="22"/>
          <w:lang w:val="pl-PL"/>
        </w:rPr>
        <w:t>gan kontrolujący legalność i poprawność wydatków (dalej jako „Kontroler”</w:t>
      </w:r>
      <w:r w:rsidR="00277B18" w:rsidRPr="008602DE">
        <w:rPr>
          <w:sz w:val="22"/>
          <w:szCs w:val="22"/>
          <w:lang w:val="pl-PL"/>
        </w:rPr>
        <w:t>)</w:t>
      </w:r>
      <w:r w:rsidR="00277B18" w:rsidRPr="008602DE">
        <w:rPr>
          <w:rStyle w:val="Znakapoznpodarou"/>
          <w:sz w:val="22"/>
          <w:szCs w:val="22"/>
          <w:lang w:val="pl-PL"/>
        </w:rPr>
        <w:footnoteReference w:id="7"/>
      </w:r>
      <w:r w:rsidR="0051275C" w:rsidRPr="008602DE">
        <w:rPr>
          <w:sz w:val="22"/>
          <w:szCs w:val="22"/>
          <w:lang w:val="pl-PL"/>
        </w:rPr>
        <w:t>.</w:t>
      </w:r>
    </w:p>
    <w:p w14:paraId="586F0F3A" w14:textId="4FE0D3B2" w:rsidR="00277B18" w:rsidRPr="008602DE" w:rsidRDefault="00277B18" w:rsidP="000B7DDC">
      <w:pPr>
        <w:pStyle w:val="Zkladntext3"/>
        <w:widowControl w:val="0"/>
        <w:numPr>
          <w:ilvl w:val="1"/>
          <w:numId w:val="7"/>
        </w:numPr>
        <w:ind w:left="567" w:hanging="573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 xml:space="preserve">Wszystkie wydatki kwalifikowalne należy </w:t>
      </w:r>
      <w:r w:rsidR="0051275C" w:rsidRPr="008602DE">
        <w:rPr>
          <w:sz w:val="22"/>
          <w:szCs w:val="22"/>
          <w:lang w:val="pl-PL"/>
        </w:rPr>
        <w:t>udokumentować</w:t>
      </w:r>
      <w:r w:rsidRPr="008602DE">
        <w:rPr>
          <w:sz w:val="22"/>
          <w:szCs w:val="22"/>
          <w:lang w:val="pl-PL"/>
        </w:rPr>
        <w:t xml:space="preserve"> w formie faktur lub</w:t>
      </w:r>
      <w:r w:rsidR="00D0013D" w:rsidRPr="008602DE">
        <w:rPr>
          <w:sz w:val="22"/>
          <w:szCs w:val="22"/>
          <w:lang w:val="pl-PL"/>
        </w:rPr>
        <w:t xml:space="preserve"> też</w:t>
      </w:r>
      <w:r w:rsidRPr="008602DE">
        <w:rPr>
          <w:sz w:val="22"/>
          <w:szCs w:val="22"/>
          <w:lang w:val="pl-PL"/>
        </w:rPr>
        <w:t xml:space="preserve"> dowodów k</w:t>
      </w:r>
      <w:r w:rsidR="00D0013D" w:rsidRPr="008602DE">
        <w:rPr>
          <w:sz w:val="22"/>
          <w:szCs w:val="22"/>
          <w:lang w:val="pl-PL"/>
        </w:rPr>
        <w:t>sięgowych o identycznej</w:t>
      </w:r>
      <w:r w:rsidRPr="008602DE">
        <w:rPr>
          <w:sz w:val="22"/>
          <w:szCs w:val="22"/>
          <w:lang w:val="pl-PL"/>
        </w:rPr>
        <w:t xml:space="preserve"> wartości dowodowej</w:t>
      </w:r>
      <w:r w:rsidRPr="008602DE">
        <w:rPr>
          <w:sz w:val="22"/>
          <w:szCs w:val="22"/>
          <w:vertAlign w:val="superscript"/>
          <w:lang w:val="pl-PL"/>
        </w:rPr>
        <w:footnoteReference w:id="8"/>
      </w:r>
      <w:r w:rsidR="00D6349E" w:rsidRPr="008602DE">
        <w:rPr>
          <w:sz w:val="22"/>
          <w:szCs w:val="22"/>
          <w:lang w:val="pl-PL"/>
        </w:rPr>
        <w:t>, o ile w Podręczniku Beneficjenta nie określono inaczej</w:t>
      </w:r>
      <w:r w:rsidRPr="008602DE">
        <w:rPr>
          <w:sz w:val="22"/>
          <w:szCs w:val="22"/>
          <w:lang w:val="pl-PL"/>
        </w:rPr>
        <w:t>.</w:t>
      </w:r>
    </w:p>
    <w:p w14:paraId="37A8137D" w14:textId="77777777" w:rsidR="00277B18" w:rsidRPr="008602DE" w:rsidRDefault="00277B18" w:rsidP="000B7DDC">
      <w:pPr>
        <w:pStyle w:val="Zkladntext3"/>
        <w:widowControl w:val="0"/>
        <w:numPr>
          <w:ilvl w:val="1"/>
          <w:numId w:val="7"/>
        </w:numPr>
        <w:ind w:left="567" w:hanging="573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 xml:space="preserve">Jeżeli w opinii podmiotu udzielającego dofinansowania złożony wniosek o płatność będzie niekompletny z perspektywy wydatków kwalifikowalnych lub zawierać będzie uchybienia formalne, </w:t>
      </w:r>
      <w:r w:rsidR="0047454E" w:rsidRPr="008602DE">
        <w:rPr>
          <w:sz w:val="22"/>
          <w:szCs w:val="22"/>
          <w:lang w:val="pl-PL"/>
        </w:rPr>
        <w:t>Główny B</w:t>
      </w:r>
      <w:r w:rsidRPr="008602DE">
        <w:rPr>
          <w:sz w:val="22"/>
          <w:szCs w:val="22"/>
          <w:lang w:val="pl-PL"/>
        </w:rPr>
        <w:t>eneficjent ma obowiązek uzupełnienia lub poprawienia wniosku w terminie okre</w:t>
      </w:r>
      <w:r w:rsidR="00D0013D" w:rsidRPr="008602DE">
        <w:rPr>
          <w:sz w:val="22"/>
          <w:szCs w:val="22"/>
          <w:lang w:val="pl-PL"/>
        </w:rPr>
        <w:t xml:space="preserve">ślonym przez podmiot </w:t>
      </w:r>
      <w:r w:rsidR="00F005D9" w:rsidRPr="008602DE">
        <w:rPr>
          <w:sz w:val="22"/>
          <w:szCs w:val="22"/>
          <w:lang w:val="pl-PL"/>
        </w:rPr>
        <w:t>udzielając</w:t>
      </w:r>
      <w:r w:rsidR="00D0013D" w:rsidRPr="008602DE">
        <w:rPr>
          <w:sz w:val="22"/>
          <w:szCs w:val="22"/>
          <w:lang w:val="pl-PL"/>
        </w:rPr>
        <w:t>y dofinansowani</w:t>
      </w:r>
      <w:r w:rsidR="00F005D9" w:rsidRPr="008602DE">
        <w:rPr>
          <w:sz w:val="22"/>
          <w:szCs w:val="22"/>
          <w:lang w:val="pl-PL"/>
        </w:rPr>
        <w:t>a</w:t>
      </w:r>
      <w:r w:rsidRPr="008602DE">
        <w:rPr>
          <w:sz w:val="22"/>
          <w:szCs w:val="22"/>
          <w:lang w:val="pl-PL"/>
        </w:rPr>
        <w:t>.</w:t>
      </w:r>
    </w:p>
    <w:p w14:paraId="46008012" w14:textId="7D4BAA28" w:rsidR="00277B18" w:rsidRPr="008602DE" w:rsidRDefault="0047454E" w:rsidP="000B7DDC">
      <w:pPr>
        <w:pStyle w:val="Zkladntext3"/>
        <w:widowControl w:val="0"/>
        <w:numPr>
          <w:ilvl w:val="1"/>
          <w:numId w:val="7"/>
        </w:numPr>
        <w:ind w:left="567" w:hanging="573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 xml:space="preserve">Główny </w:t>
      </w:r>
      <w:r w:rsidR="00277B18" w:rsidRPr="008602DE">
        <w:rPr>
          <w:sz w:val="22"/>
          <w:szCs w:val="22"/>
          <w:lang w:val="pl-PL"/>
        </w:rPr>
        <w:t>Beneficjent zobowią</w:t>
      </w:r>
      <w:r w:rsidR="00473FA5" w:rsidRPr="008602DE">
        <w:rPr>
          <w:sz w:val="22"/>
          <w:szCs w:val="22"/>
          <w:lang w:val="pl-PL"/>
        </w:rPr>
        <w:t>zany jest również do zagwarantowania</w:t>
      </w:r>
      <w:r w:rsidR="00277B18" w:rsidRPr="008602DE">
        <w:rPr>
          <w:sz w:val="22"/>
          <w:szCs w:val="22"/>
          <w:lang w:val="pl-PL"/>
        </w:rPr>
        <w:t>, aby pokryte zostały wszystkie wydatki projektu, których nie pokryto z dofinansowan</w:t>
      </w:r>
      <w:r w:rsidR="00D0013D" w:rsidRPr="008602DE">
        <w:rPr>
          <w:sz w:val="22"/>
          <w:szCs w:val="22"/>
          <w:lang w:val="pl-PL"/>
        </w:rPr>
        <w:t xml:space="preserve">ia </w:t>
      </w:r>
      <w:r w:rsidR="001762AF" w:rsidRPr="008602DE">
        <w:rPr>
          <w:sz w:val="22"/>
          <w:szCs w:val="22"/>
          <w:lang w:val="pl-PL"/>
        </w:rPr>
        <w:t xml:space="preserve">z </w:t>
      </w:r>
      <w:r w:rsidR="00757DC9" w:rsidRPr="008602DE">
        <w:rPr>
          <w:sz w:val="22"/>
          <w:szCs w:val="22"/>
          <w:lang w:val="pl-PL"/>
        </w:rPr>
        <w:t>części I</w:t>
      </w:r>
      <w:r w:rsidR="00757DC9">
        <w:rPr>
          <w:sz w:val="22"/>
          <w:szCs w:val="22"/>
          <w:lang w:val="pl-PL"/>
        </w:rPr>
        <w:t>,</w:t>
      </w:r>
      <w:r w:rsidR="00757DC9" w:rsidRPr="008602DE">
        <w:rPr>
          <w:sz w:val="22"/>
          <w:szCs w:val="22"/>
          <w:lang w:val="pl-PL"/>
        </w:rPr>
        <w:t xml:space="preserve"> </w:t>
      </w:r>
      <w:r w:rsidR="001762AF" w:rsidRPr="008602DE">
        <w:rPr>
          <w:sz w:val="22"/>
          <w:szCs w:val="22"/>
          <w:lang w:val="pl-PL"/>
        </w:rPr>
        <w:t xml:space="preserve">punktu 2.1 </w:t>
      </w:r>
      <w:r w:rsidR="00EC4F78" w:rsidRPr="008602DE">
        <w:rPr>
          <w:sz w:val="22"/>
          <w:szCs w:val="22"/>
          <w:lang w:val="pl-PL"/>
        </w:rPr>
        <w:t xml:space="preserve">niniejszej </w:t>
      </w:r>
      <w:r w:rsidR="001762AF" w:rsidRPr="008602DE">
        <w:rPr>
          <w:sz w:val="22"/>
          <w:szCs w:val="22"/>
          <w:lang w:val="pl-PL"/>
        </w:rPr>
        <w:t xml:space="preserve">Decyzji </w:t>
      </w:r>
      <w:r w:rsidR="00D0013D" w:rsidRPr="008602DE">
        <w:rPr>
          <w:sz w:val="22"/>
          <w:szCs w:val="22"/>
          <w:lang w:val="pl-PL"/>
        </w:rPr>
        <w:t>(zwłaszcza zaś wydatki niekw</w:t>
      </w:r>
      <w:r w:rsidR="00277B18" w:rsidRPr="008602DE">
        <w:rPr>
          <w:sz w:val="22"/>
          <w:szCs w:val="22"/>
          <w:lang w:val="pl-PL"/>
        </w:rPr>
        <w:t xml:space="preserve">alifikowalne i wydatki </w:t>
      </w:r>
      <w:r w:rsidR="00473FA5" w:rsidRPr="008602DE">
        <w:rPr>
          <w:sz w:val="22"/>
          <w:szCs w:val="22"/>
          <w:lang w:val="pl-PL"/>
        </w:rPr>
        <w:t>na zapewnienie trwałości rezultatów</w:t>
      </w:r>
      <w:r w:rsidR="00277B18" w:rsidRPr="008602DE">
        <w:rPr>
          <w:sz w:val="22"/>
          <w:szCs w:val="22"/>
          <w:lang w:val="pl-PL"/>
        </w:rPr>
        <w:t xml:space="preserve"> realizacji projektu), aby zachowany został cel podany w części I</w:t>
      </w:r>
      <w:r w:rsidR="00473FA5" w:rsidRPr="008602DE">
        <w:rPr>
          <w:sz w:val="22"/>
          <w:szCs w:val="22"/>
          <w:lang w:val="pl-PL"/>
        </w:rPr>
        <w:t>,</w:t>
      </w:r>
      <w:r w:rsidR="00277B18" w:rsidRPr="008602DE">
        <w:rPr>
          <w:sz w:val="22"/>
          <w:szCs w:val="22"/>
          <w:lang w:val="pl-PL"/>
        </w:rPr>
        <w:t xml:space="preserve"> punkcie 3 niniejszej Decyzji oraz trwałość projektu zgodnie z częścią II</w:t>
      </w:r>
      <w:r w:rsidR="00473FA5" w:rsidRPr="008602DE">
        <w:rPr>
          <w:sz w:val="22"/>
          <w:szCs w:val="22"/>
          <w:lang w:val="pl-PL"/>
        </w:rPr>
        <w:t>,</w:t>
      </w:r>
      <w:r w:rsidR="00277B18" w:rsidRPr="008602DE">
        <w:rPr>
          <w:sz w:val="22"/>
          <w:szCs w:val="22"/>
          <w:lang w:val="pl-PL"/>
        </w:rPr>
        <w:t xml:space="preserve"> punktem 3 niniejszej Decyzji.</w:t>
      </w:r>
    </w:p>
    <w:p w14:paraId="1C3E0E54" w14:textId="0DBAA43C" w:rsidR="00277B18" w:rsidRPr="008602DE" w:rsidRDefault="0047454E" w:rsidP="000B7DDC">
      <w:pPr>
        <w:pStyle w:val="Zkladntext3"/>
        <w:widowControl w:val="0"/>
        <w:numPr>
          <w:ilvl w:val="1"/>
          <w:numId w:val="7"/>
        </w:numPr>
        <w:ind w:left="567" w:hanging="573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 xml:space="preserve">Główny </w:t>
      </w:r>
      <w:r w:rsidR="00277B18" w:rsidRPr="008602DE">
        <w:rPr>
          <w:sz w:val="22"/>
          <w:szCs w:val="22"/>
          <w:lang w:val="pl-PL"/>
        </w:rPr>
        <w:t xml:space="preserve">Beneficjent zobowiązany jest do przestrzegania zakazu podwójnego </w:t>
      </w:r>
      <w:r w:rsidR="00277B18" w:rsidRPr="008602DE">
        <w:rPr>
          <w:sz w:val="22"/>
          <w:szCs w:val="22"/>
          <w:lang w:val="pl-PL"/>
        </w:rPr>
        <w:lastRenderedPageBreak/>
        <w:t>fi</w:t>
      </w:r>
      <w:r w:rsidR="00473FA5" w:rsidRPr="008602DE">
        <w:rPr>
          <w:sz w:val="22"/>
          <w:szCs w:val="22"/>
          <w:lang w:val="pl-PL"/>
        </w:rPr>
        <w:t>nansowania wydatku, który</w:t>
      </w:r>
      <w:r w:rsidR="00277B18" w:rsidRPr="008602DE">
        <w:rPr>
          <w:sz w:val="22"/>
          <w:szCs w:val="22"/>
          <w:lang w:val="pl-PL"/>
        </w:rPr>
        <w:t xml:space="preserve"> pokryty</w:t>
      </w:r>
      <w:r w:rsidR="00473FA5" w:rsidRPr="008602DE">
        <w:rPr>
          <w:sz w:val="22"/>
          <w:szCs w:val="22"/>
          <w:lang w:val="pl-PL"/>
        </w:rPr>
        <w:t xml:space="preserve"> został</w:t>
      </w:r>
      <w:r w:rsidR="00277B18" w:rsidRPr="008602DE">
        <w:rPr>
          <w:sz w:val="22"/>
          <w:szCs w:val="22"/>
          <w:lang w:val="pl-PL"/>
        </w:rPr>
        <w:t xml:space="preserve"> z niniejszego dofinansowania, z innych </w:t>
      </w:r>
      <w:r w:rsidR="000D4BE9" w:rsidRPr="008602DE">
        <w:rPr>
          <w:sz w:val="22"/>
          <w:szCs w:val="22"/>
          <w:lang w:val="pl-PL"/>
        </w:rPr>
        <w:t xml:space="preserve">funduszy Unii Europejskiej, </w:t>
      </w:r>
      <w:r w:rsidR="00277B18" w:rsidRPr="008602DE">
        <w:rPr>
          <w:sz w:val="22"/>
          <w:szCs w:val="22"/>
          <w:lang w:val="pl-PL"/>
        </w:rPr>
        <w:t xml:space="preserve">z innych </w:t>
      </w:r>
      <w:r w:rsidR="000D4BE9" w:rsidRPr="008602DE">
        <w:rPr>
          <w:sz w:val="22"/>
          <w:szCs w:val="22"/>
          <w:lang w:val="pl-PL"/>
        </w:rPr>
        <w:t xml:space="preserve">instrumentów </w:t>
      </w:r>
      <w:r w:rsidR="00277B18" w:rsidRPr="008602DE">
        <w:rPr>
          <w:sz w:val="22"/>
          <w:szCs w:val="22"/>
          <w:lang w:val="pl-PL"/>
        </w:rPr>
        <w:t>Unii Europejskiej, z tego samego funduszu w ramach innego programu lub też z innych środków zagranicznych lub narodowych środków publicznych.</w:t>
      </w:r>
    </w:p>
    <w:p w14:paraId="13B8738D" w14:textId="77CE7903" w:rsidR="00277B18" w:rsidRPr="008602DE" w:rsidRDefault="00277B18" w:rsidP="000B7DDC">
      <w:pPr>
        <w:pStyle w:val="Zkladntext3"/>
        <w:widowControl w:val="0"/>
        <w:numPr>
          <w:ilvl w:val="1"/>
          <w:numId w:val="7"/>
        </w:numPr>
        <w:ind w:left="567" w:hanging="573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>W budżecie projek</w:t>
      </w:r>
      <w:r w:rsidR="00473FA5" w:rsidRPr="008602DE">
        <w:rPr>
          <w:sz w:val="22"/>
          <w:szCs w:val="22"/>
          <w:lang w:val="pl-PL"/>
        </w:rPr>
        <w:t xml:space="preserve">tu, który stanowi załącznik nr </w:t>
      </w:r>
      <w:r w:rsidRPr="008602DE">
        <w:rPr>
          <w:sz w:val="22"/>
          <w:szCs w:val="22"/>
          <w:lang w:val="pl-PL"/>
        </w:rPr>
        <w:t xml:space="preserve">3 do niniejszej Decyzji </w:t>
      </w:r>
      <w:r w:rsidR="000D4BE9" w:rsidRPr="008602DE">
        <w:rPr>
          <w:sz w:val="22"/>
          <w:szCs w:val="22"/>
          <w:lang w:val="pl-PL"/>
        </w:rPr>
        <w:t>są zastosowane uproszczone metody rozliczania wydatków zgodnie z załącznikiem nr 4 do te</w:t>
      </w:r>
      <w:r w:rsidR="007051EB" w:rsidRPr="008602DE">
        <w:rPr>
          <w:sz w:val="22"/>
          <w:szCs w:val="22"/>
          <w:lang w:val="pl-PL"/>
        </w:rPr>
        <w:t>j</w:t>
      </w:r>
      <w:r w:rsidR="000D4BE9" w:rsidRPr="008602DE">
        <w:rPr>
          <w:sz w:val="22"/>
          <w:szCs w:val="22"/>
          <w:lang w:val="pl-PL"/>
        </w:rPr>
        <w:t xml:space="preserve"> Decyzji. </w:t>
      </w:r>
    </w:p>
    <w:p w14:paraId="0D0F33D7" w14:textId="79A36DDD" w:rsidR="00277B18" w:rsidRPr="008602DE" w:rsidRDefault="00473FA5" w:rsidP="000B7DDC">
      <w:pPr>
        <w:pStyle w:val="Zkladntext3"/>
        <w:widowControl w:val="0"/>
        <w:numPr>
          <w:ilvl w:val="1"/>
          <w:numId w:val="7"/>
        </w:numPr>
        <w:ind w:left="567" w:hanging="573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 xml:space="preserve">Przedmiotem dofinansowania </w:t>
      </w:r>
      <w:r w:rsidR="00277B18" w:rsidRPr="008602DE">
        <w:rPr>
          <w:sz w:val="22"/>
          <w:szCs w:val="22"/>
          <w:lang w:val="pl-PL"/>
        </w:rPr>
        <w:t>mogą być tylko te z kosztów kwalifikowalnych,</w:t>
      </w:r>
      <w:r w:rsidR="000D4BE9" w:rsidRPr="008602DE">
        <w:rPr>
          <w:sz w:val="22"/>
          <w:szCs w:val="22"/>
          <w:lang w:val="pl-PL"/>
        </w:rPr>
        <w:t xml:space="preserve"> które dotyczą </w:t>
      </w:r>
      <w:r w:rsidR="002B502F" w:rsidRPr="008602DE">
        <w:rPr>
          <w:sz w:val="22"/>
          <w:szCs w:val="22"/>
          <w:lang w:val="pl-PL"/>
        </w:rPr>
        <w:t xml:space="preserve">rzeczywiście zrealizowanych </w:t>
      </w:r>
      <w:r w:rsidR="000D4BE9" w:rsidRPr="008602DE">
        <w:rPr>
          <w:sz w:val="22"/>
          <w:szCs w:val="22"/>
          <w:lang w:val="pl-PL"/>
        </w:rPr>
        <w:t xml:space="preserve">działań </w:t>
      </w:r>
      <w:r w:rsidR="00277B18" w:rsidRPr="008602DE">
        <w:rPr>
          <w:sz w:val="22"/>
          <w:szCs w:val="22"/>
          <w:lang w:val="pl-PL"/>
        </w:rPr>
        <w:t xml:space="preserve">najpóźniej </w:t>
      </w:r>
      <w:r w:rsidR="008303EA" w:rsidRPr="008602DE">
        <w:rPr>
          <w:sz w:val="22"/>
          <w:szCs w:val="22"/>
          <w:lang w:val="pl-PL"/>
        </w:rPr>
        <w:t xml:space="preserve">w </w:t>
      </w:r>
      <w:r w:rsidR="000D4BE9" w:rsidRPr="008602DE">
        <w:rPr>
          <w:sz w:val="22"/>
          <w:szCs w:val="22"/>
          <w:lang w:val="pl-PL"/>
        </w:rPr>
        <w:t xml:space="preserve">dniu </w:t>
      </w:r>
      <w:r w:rsidR="00277B18" w:rsidRPr="008602DE">
        <w:rPr>
          <w:sz w:val="22"/>
          <w:szCs w:val="22"/>
          <w:lang w:val="pl-PL"/>
        </w:rPr>
        <w:t>zakończenia realizacji projektu, podan</w:t>
      </w:r>
      <w:r w:rsidR="000D4BE9" w:rsidRPr="008602DE">
        <w:rPr>
          <w:sz w:val="22"/>
          <w:szCs w:val="22"/>
          <w:lang w:val="pl-PL"/>
        </w:rPr>
        <w:t>ym</w:t>
      </w:r>
      <w:r w:rsidR="00277B18" w:rsidRPr="008602DE">
        <w:rPr>
          <w:sz w:val="22"/>
          <w:szCs w:val="22"/>
          <w:lang w:val="pl-PL"/>
        </w:rPr>
        <w:t xml:space="preserve"> w części I, punkcie 4 niniejsz</w:t>
      </w:r>
      <w:r w:rsidRPr="008602DE">
        <w:rPr>
          <w:sz w:val="22"/>
          <w:szCs w:val="22"/>
          <w:lang w:val="pl-PL"/>
        </w:rPr>
        <w:t>ej Decyzji, a które</w:t>
      </w:r>
      <w:r w:rsidR="00277B18" w:rsidRPr="008602DE">
        <w:rPr>
          <w:sz w:val="22"/>
          <w:szCs w:val="22"/>
          <w:lang w:val="pl-PL"/>
        </w:rPr>
        <w:t xml:space="preserve"> </w:t>
      </w:r>
      <w:r w:rsidR="007051EB" w:rsidRPr="008602DE">
        <w:rPr>
          <w:b/>
          <w:bCs/>
          <w:sz w:val="22"/>
          <w:szCs w:val="22"/>
          <w:lang w:val="pl-PL"/>
        </w:rPr>
        <w:t>zapłacono</w:t>
      </w:r>
      <w:r w:rsidR="007051EB" w:rsidRPr="008602DE">
        <w:rPr>
          <w:sz w:val="22"/>
          <w:szCs w:val="22"/>
          <w:lang w:val="pl-PL"/>
        </w:rPr>
        <w:t xml:space="preserve"> </w:t>
      </w:r>
      <w:r w:rsidR="00277B18" w:rsidRPr="008602DE">
        <w:rPr>
          <w:sz w:val="22"/>
          <w:szCs w:val="22"/>
          <w:lang w:val="pl-PL"/>
        </w:rPr>
        <w:t xml:space="preserve">najpóźniej </w:t>
      </w:r>
      <w:r w:rsidR="000D4BE9" w:rsidRPr="008602DE">
        <w:rPr>
          <w:sz w:val="22"/>
          <w:szCs w:val="22"/>
          <w:lang w:val="pl-PL"/>
        </w:rPr>
        <w:t xml:space="preserve">w terminie złożenia zestawienia wydatków w ramach końcowego wniosku o płatność, określonego w </w:t>
      </w:r>
      <w:r w:rsidR="00126224" w:rsidRPr="008602DE">
        <w:rPr>
          <w:sz w:val="22"/>
          <w:szCs w:val="22"/>
          <w:lang w:val="pl-PL"/>
        </w:rPr>
        <w:t>obowiązującym</w:t>
      </w:r>
      <w:r w:rsidR="000D4BE9" w:rsidRPr="008602DE">
        <w:rPr>
          <w:sz w:val="22"/>
          <w:szCs w:val="22"/>
          <w:lang w:val="pl-PL"/>
        </w:rPr>
        <w:t xml:space="preserve"> harmonogramie składania raportów i wniosków o płatność, </w:t>
      </w:r>
      <w:r w:rsidR="00167690" w:rsidRPr="008602DE">
        <w:rPr>
          <w:sz w:val="22"/>
          <w:szCs w:val="22"/>
          <w:lang w:val="pl-PL"/>
        </w:rPr>
        <w:t xml:space="preserve">jednak </w:t>
      </w:r>
      <w:r w:rsidR="00167690" w:rsidRPr="008602DE">
        <w:rPr>
          <w:b/>
          <w:bCs/>
          <w:sz w:val="22"/>
          <w:szCs w:val="22"/>
          <w:lang w:val="pl-PL"/>
        </w:rPr>
        <w:t>nie później niż 31.12.202</w:t>
      </w:r>
      <w:r w:rsidR="000D4BE9" w:rsidRPr="008602DE">
        <w:rPr>
          <w:b/>
          <w:bCs/>
          <w:sz w:val="22"/>
          <w:szCs w:val="22"/>
          <w:lang w:val="pl-PL"/>
        </w:rPr>
        <w:t>9</w:t>
      </w:r>
      <w:r w:rsidR="007051EB" w:rsidRPr="008602DE">
        <w:rPr>
          <w:b/>
          <w:bCs/>
          <w:sz w:val="22"/>
          <w:szCs w:val="22"/>
          <w:lang w:val="pl-PL"/>
        </w:rPr>
        <w:t xml:space="preserve"> r</w:t>
      </w:r>
      <w:r w:rsidR="00277B18" w:rsidRPr="008602DE">
        <w:rPr>
          <w:sz w:val="22"/>
          <w:szCs w:val="22"/>
          <w:lang w:val="pl-PL"/>
        </w:rPr>
        <w:t>.</w:t>
      </w:r>
    </w:p>
    <w:p w14:paraId="1B4473C8" w14:textId="2A7CC280" w:rsidR="00277B18" w:rsidRPr="008602DE" w:rsidRDefault="002B502F" w:rsidP="002B7FA0">
      <w:pPr>
        <w:pStyle w:val="Nadpis2"/>
      </w:pPr>
      <w:r w:rsidRPr="008602DE">
        <w:t xml:space="preserve">Monitoring </w:t>
      </w:r>
      <w:r w:rsidR="0091184C" w:rsidRPr="008602DE">
        <w:t>projektu</w:t>
      </w:r>
    </w:p>
    <w:p w14:paraId="2C1A8DBC" w14:textId="4C3B4978" w:rsidR="002B502F" w:rsidRPr="008602DE" w:rsidRDefault="002B502F" w:rsidP="000B7DDC">
      <w:pPr>
        <w:pStyle w:val="Zkladntext3"/>
        <w:widowControl w:val="0"/>
        <w:numPr>
          <w:ilvl w:val="1"/>
          <w:numId w:val="8"/>
        </w:numPr>
        <w:ind w:left="567" w:hanging="567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>Główny Beneficjent zobowiązany jest do realizacji wskaźników produktu, które opisano w załączniku nr 2 do niniejszej Decyzji.</w:t>
      </w:r>
    </w:p>
    <w:p w14:paraId="640A69E1" w14:textId="77CDB4BA" w:rsidR="00622C97" w:rsidRPr="008602DE" w:rsidRDefault="0047454E" w:rsidP="000B7DDC">
      <w:pPr>
        <w:pStyle w:val="Zkladntext3"/>
        <w:widowControl w:val="0"/>
        <w:numPr>
          <w:ilvl w:val="1"/>
          <w:numId w:val="8"/>
        </w:numPr>
        <w:ind w:left="567" w:hanging="567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 xml:space="preserve">Główny </w:t>
      </w:r>
      <w:r w:rsidR="00277B18" w:rsidRPr="008602DE">
        <w:rPr>
          <w:sz w:val="22"/>
          <w:szCs w:val="22"/>
          <w:lang w:val="pl-PL"/>
        </w:rPr>
        <w:t>Beneficjent zobowiązany jest do dostarczenia Kontrolerowi danych niez</w:t>
      </w:r>
      <w:r w:rsidR="00473FA5" w:rsidRPr="008602DE">
        <w:rPr>
          <w:sz w:val="22"/>
          <w:szCs w:val="22"/>
          <w:lang w:val="pl-PL"/>
        </w:rPr>
        <w:t>będnych do monitorowania osiągnięć</w:t>
      </w:r>
      <w:r w:rsidR="00277B18" w:rsidRPr="008602DE">
        <w:rPr>
          <w:sz w:val="22"/>
          <w:szCs w:val="22"/>
          <w:lang w:val="pl-PL"/>
        </w:rPr>
        <w:t xml:space="preserve"> projektu na bieżąco (monitoring projektu), </w:t>
      </w:r>
      <w:r w:rsidR="002B502F" w:rsidRPr="008602DE">
        <w:rPr>
          <w:sz w:val="22"/>
          <w:szCs w:val="22"/>
          <w:lang w:val="pl-PL"/>
        </w:rPr>
        <w:t>przede wszystkim przez wykazywanie osiągniętych wartości wskaźników rezultatu i produk</w:t>
      </w:r>
      <w:r w:rsidR="00622C97" w:rsidRPr="008602DE">
        <w:rPr>
          <w:sz w:val="22"/>
          <w:szCs w:val="22"/>
          <w:lang w:val="pl-PL"/>
        </w:rPr>
        <w:t>t</w:t>
      </w:r>
      <w:r w:rsidR="002B502F" w:rsidRPr="008602DE">
        <w:rPr>
          <w:sz w:val="22"/>
          <w:szCs w:val="22"/>
          <w:lang w:val="pl-PL"/>
        </w:rPr>
        <w:t xml:space="preserve">u oraz </w:t>
      </w:r>
      <w:r w:rsidR="00277B18" w:rsidRPr="008602DE">
        <w:rPr>
          <w:sz w:val="22"/>
          <w:szCs w:val="22"/>
          <w:lang w:val="pl-PL"/>
        </w:rPr>
        <w:t>poprzez składanie raportów końcowych oraz raportów z bieżącej realizacji projektu</w:t>
      </w:r>
      <w:r w:rsidR="00473FA5" w:rsidRPr="008602DE">
        <w:rPr>
          <w:sz w:val="22"/>
          <w:szCs w:val="22"/>
          <w:lang w:val="pl-PL"/>
        </w:rPr>
        <w:t xml:space="preserve">. </w:t>
      </w:r>
      <w:r w:rsidRPr="008602DE">
        <w:rPr>
          <w:sz w:val="22"/>
          <w:szCs w:val="22"/>
          <w:lang w:val="pl-PL"/>
        </w:rPr>
        <w:t xml:space="preserve">Główny </w:t>
      </w:r>
      <w:r w:rsidR="00473FA5" w:rsidRPr="008602DE">
        <w:rPr>
          <w:sz w:val="22"/>
          <w:szCs w:val="22"/>
          <w:lang w:val="pl-PL"/>
        </w:rPr>
        <w:t>Beneficjent zobowiązany jest d</w:t>
      </w:r>
      <w:r w:rsidR="00277B18" w:rsidRPr="008602DE">
        <w:rPr>
          <w:sz w:val="22"/>
          <w:szCs w:val="22"/>
          <w:lang w:val="pl-PL"/>
        </w:rPr>
        <w:t xml:space="preserve">o składania raportów w terminach określonych w załączniku nr </w:t>
      </w:r>
      <w:r w:rsidR="00622C97" w:rsidRPr="008602DE">
        <w:rPr>
          <w:sz w:val="22"/>
          <w:szCs w:val="22"/>
          <w:lang w:val="pl-PL"/>
        </w:rPr>
        <w:t>5</w:t>
      </w:r>
      <w:r w:rsidR="0032530C" w:rsidRPr="008602DE">
        <w:rPr>
          <w:sz w:val="22"/>
          <w:szCs w:val="22"/>
          <w:lang w:val="pl-PL"/>
        </w:rPr>
        <w:t xml:space="preserve"> niniejszej</w:t>
      </w:r>
      <w:r w:rsidR="00216A84" w:rsidRPr="008602DE">
        <w:rPr>
          <w:sz w:val="22"/>
          <w:szCs w:val="22"/>
          <w:lang w:val="pl-PL"/>
        </w:rPr>
        <w:t xml:space="preserve"> Decyzji</w:t>
      </w:r>
      <w:r w:rsidR="00622C97" w:rsidRPr="008602DE">
        <w:rPr>
          <w:sz w:val="22"/>
          <w:szCs w:val="22"/>
          <w:lang w:val="pl-PL"/>
        </w:rPr>
        <w:t>.</w:t>
      </w:r>
    </w:p>
    <w:p w14:paraId="6C7D433E" w14:textId="191359A0" w:rsidR="002B502F" w:rsidRPr="008602DE" w:rsidRDefault="00277B18" w:rsidP="000B7DDC">
      <w:pPr>
        <w:pStyle w:val="Zkladntext3"/>
        <w:widowControl w:val="0"/>
        <w:numPr>
          <w:ilvl w:val="1"/>
          <w:numId w:val="8"/>
        </w:numPr>
        <w:ind w:left="567" w:hanging="567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 xml:space="preserve">Jeżeli w przypadku projektu obowiązują postanowienia części II punktu 3 niniejszej Decyzji, </w:t>
      </w:r>
      <w:r w:rsidR="0047454E" w:rsidRPr="008602DE">
        <w:rPr>
          <w:sz w:val="22"/>
          <w:szCs w:val="22"/>
          <w:lang w:val="pl-PL"/>
        </w:rPr>
        <w:t>Główny B</w:t>
      </w:r>
      <w:r w:rsidRPr="008602DE">
        <w:rPr>
          <w:sz w:val="22"/>
          <w:szCs w:val="22"/>
          <w:lang w:val="pl-PL"/>
        </w:rPr>
        <w:t>enef</w:t>
      </w:r>
      <w:r w:rsidR="00473FA5" w:rsidRPr="008602DE">
        <w:rPr>
          <w:sz w:val="22"/>
          <w:szCs w:val="22"/>
          <w:lang w:val="pl-PL"/>
        </w:rPr>
        <w:t xml:space="preserve">icjent ma </w:t>
      </w:r>
      <w:r w:rsidRPr="008602DE">
        <w:rPr>
          <w:sz w:val="22"/>
          <w:szCs w:val="22"/>
          <w:lang w:val="pl-PL"/>
        </w:rPr>
        <w:t>o</w:t>
      </w:r>
      <w:r w:rsidR="00473FA5" w:rsidRPr="008602DE">
        <w:rPr>
          <w:sz w:val="22"/>
          <w:szCs w:val="22"/>
          <w:lang w:val="pl-PL"/>
        </w:rPr>
        <w:t>bo</w:t>
      </w:r>
      <w:r w:rsidRPr="008602DE">
        <w:rPr>
          <w:sz w:val="22"/>
          <w:szCs w:val="22"/>
          <w:lang w:val="pl-PL"/>
        </w:rPr>
        <w:t xml:space="preserve">wiązek </w:t>
      </w:r>
      <w:r w:rsidR="00D6349E" w:rsidRPr="008602DE">
        <w:rPr>
          <w:sz w:val="22"/>
          <w:szCs w:val="22"/>
          <w:lang w:val="pl-PL"/>
        </w:rPr>
        <w:t>złożenia Kontrolerowi łącznie 5 raportów z trwałości. Terminy składania raportów Głównemu Beneficjentowi przekaże Kontroler po zrefundowaniu końcowego wniosku o płatność</w:t>
      </w:r>
      <w:r w:rsidRPr="008602DE">
        <w:rPr>
          <w:sz w:val="22"/>
          <w:szCs w:val="22"/>
          <w:lang w:val="pl-PL"/>
        </w:rPr>
        <w:t>.</w:t>
      </w:r>
    </w:p>
    <w:p w14:paraId="1C89A387" w14:textId="36A0531A" w:rsidR="000646B2" w:rsidRPr="008602DE" w:rsidRDefault="002B502F" w:rsidP="000B7DDC">
      <w:pPr>
        <w:pStyle w:val="Zkladntext3"/>
        <w:widowControl w:val="0"/>
        <w:numPr>
          <w:ilvl w:val="1"/>
          <w:numId w:val="8"/>
        </w:numPr>
        <w:ind w:left="567" w:hanging="567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 xml:space="preserve">Główny </w:t>
      </w:r>
      <w:r w:rsidR="007051EB" w:rsidRPr="008602DE">
        <w:rPr>
          <w:sz w:val="22"/>
          <w:szCs w:val="22"/>
          <w:lang w:val="pl-PL"/>
        </w:rPr>
        <w:t>B</w:t>
      </w:r>
      <w:r w:rsidRPr="008602DE">
        <w:rPr>
          <w:sz w:val="22"/>
          <w:szCs w:val="22"/>
          <w:lang w:val="pl-PL"/>
        </w:rPr>
        <w:t>eneficjent zobowiązany jest do raportowania osiągniętych wartości wskaźników produktu i rezultatu projektu. Tam</w:t>
      </w:r>
      <w:r w:rsidR="00622C97" w:rsidRPr="008602DE">
        <w:rPr>
          <w:sz w:val="22"/>
          <w:szCs w:val="22"/>
          <w:lang w:val="pl-PL"/>
        </w:rPr>
        <w:t>,</w:t>
      </w:r>
      <w:r w:rsidRPr="008602DE">
        <w:rPr>
          <w:sz w:val="22"/>
          <w:szCs w:val="22"/>
          <w:lang w:val="pl-PL"/>
        </w:rPr>
        <w:t xml:space="preserve"> gdzie wymaga tego charakter wskaźnika rezultatu (zgodnie z załącznikiem</w:t>
      </w:r>
      <w:r w:rsidR="00612426" w:rsidRPr="008602DE">
        <w:rPr>
          <w:sz w:val="22"/>
          <w:szCs w:val="22"/>
          <w:lang w:val="pl-PL"/>
        </w:rPr>
        <w:t xml:space="preserve"> nr 18</w:t>
      </w:r>
      <w:r w:rsidRPr="008602DE">
        <w:rPr>
          <w:sz w:val="22"/>
          <w:szCs w:val="22"/>
          <w:lang w:val="pl-PL"/>
        </w:rPr>
        <w:t xml:space="preserve"> </w:t>
      </w:r>
      <w:r w:rsidR="009D155B" w:rsidRPr="008602DE">
        <w:rPr>
          <w:sz w:val="22"/>
          <w:szCs w:val="22"/>
          <w:lang w:val="pl-PL"/>
        </w:rPr>
        <w:t>„Wskaźniki re</w:t>
      </w:r>
      <w:r w:rsidR="00F8186B" w:rsidRPr="008602DE">
        <w:rPr>
          <w:sz w:val="22"/>
          <w:szCs w:val="22"/>
          <w:lang w:val="pl-PL"/>
        </w:rPr>
        <w:t>z</w:t>
      </w:r>
      <w:r w:rsidR="009D155B" w:rsidRPr="008602DE">
        <w:rPr>
          <w:sz w:val="22"/>
          <w:szCs w:val="22"/>
          <w:lang w:val="pl-PL"/>
        </w:rPr>
        <w:t xml:space="preserve">ultatu” </w:t>
      </w:r>
      <w:r w:rsidR="00260E22" w:rsidRPr="008602DE">
        <w:rPr>
          <w:sz w:val="22"/>
          <w:szCs w:val="22"/>
          <w:lang w:val="pl-PL"/>
        </w:rPr>
        <w:t xml:space="preserve">do </w:t>
      </w:r>
      <w:r w:rsidR="00622C97" w:rsidRPr="008602DE">
        <w:rPr>
          <w:sz w:val="22"/>
          <w:szCs w:val="22"/>
          <w:lang w:val="pl-PL"/>
        </w:rPr>
        <w:t xml:space="preserve">Podręcznika </w:t>
      </w:r>
      <w:r w:rsidR="00D60720" w:rsidRPr="008602DE">
        <w:rPr>
          <w:sz w:val="22"/>
          <w:szCs w:val="22"/>
          <w:lang w:val="pl-PL"/>
        </w:rPr>
        <w:t>Wnioskodawcy</w:t>
      </w:r>
      <w:r w:rsidRPr="008602DE">
        <w:rPr>
          <w:sz w:val="22"/>
          <w:szCs w:val="22"/>
          <w:lang w:val="pl-PL"/>
        </w:rPr>
        <w:t>), Główny Beneficjent jest zobowiązany do jego monitorowania i raportowania po zakończeniu realizacji projektu</w:t>
      </w:r>
      <w:r w:rsidR="00D6349E" w:rsidRPr="008602DE">
        <w:rPr>
          <w:sz w:val="22"/>
          <w:szCs w:val="22"/>
          <w:lang w:val="pl-PL"/>
        </w:rPr>
        <w:t>, składając jeden raport z trwałości 1 rok po zakończeniu realizacji projektu</w:t>
      </w:r>
      <w:r w:rsidRPr="008602DE">
        <w:rPr>
          <w:sz w:val="22"/>
          <w:szCs w:val="22"/>
          <w:lang w:val="pl-PL"/>
        </w:rPr>
        <w:t xml:space="preserve">. </w:t>
      </w:r>
    </w:p>
    <w:p w14:paraId="67532B36" w14:textId="058780D3" w:rsidR="00277B18" w:rsidRPr="008602DE" w:rsidRDefault="002B502F" w:rsidP="000B7DDC">
      <w:pPr>
        <w:pStyle w:val="Zkladntext3"/>
        <w:widowControl w:val="0"/>
        <w:numPr>
          <w:ilvl w:val="1"/>
          <w:numId w:val="8"/>
        </w:numPr>
        <w:ind w:left="567" w:hanging="567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 xml:space="preserve">Główny </w:t>
      </w:r>
      <w:r w:rsidR="007051EB" w:rsidRPr="008602DE">
        <w:rPr>
          <w:sz w:val="22"/>
          <w:szCs w:val="22"/>
          <w:lang w:val="pl-PL"/>
        </w:rPr>
        <w:t>B</w:t>
      </w:r>
      <w:r w:rsidRPr="008602DE">
        <w:rPr>
          <w:sz w:val="22"/>
          <w:szCs w:val="22"/>
          <w:lang w:val="pl-PL"/>
        </w:rPr>
        <w:t>eneficjent jest zobowiązany do zbierania danych dotyczących wskaźników produktu i rezultatu zgodnie z dokumentacją programową oraz zgodnie z procedurą, którą sam wcześniej określił we wniosku projektowym.</w:t>
      </w:r>
    </w:p>
    <w:p w14:paraId="7CADA728" w14:textId="77777777" w:rsidR="00277B18" w:rsidRPr="008602DE" w:rsidRDefault="00277B18" w:rsidP="002B7FA0">
      <w:pPr>
        <w:pStyle w:val="Nadpis2"/>
      </w:pPr>
      <w:bookmarkStart w:id="15" w:name="_Toc434755120"/>
      <w:proofErr w:type="spellStart"/>
      <w:r w:rsidRPr="008602DE">
        <w:t>Prowadzenie</w:t>
      </w:r>
      <w:proofErr w:type="spellEnd"/>
      <w:r w:rsidRPr="008602DE">
        <w:t xml:space="preserve"> </w:t>
      </w:r>
      <w:proofErr w:type="spellStart"/>
      <w:r w:rsidRPr="008602DE">
        <w:t>księgowości</w:t>
      </w:r>
      <w:bookmarkEnd w:id="15"/>
      <w:proofErr w:type="spellEnd"/>
    </w:p>
    <w:p w14:paraId="2CF2A2FE" w14:textId="40C2BCFC" w:rsidR="00277B18" w:rsidRPr="008602DE" w:rsidRDefault="003B2BD5" w:rsidP="000B7DDC">
      <w:pPr>
        <w:pStyle w:val="Zkladntext3"/>
        <w:widowControl w:val="0"/>
        <w:numPr>
          <w:ilvl w:val="1"/>
          <w:numId w:val="9"/>
        </w:numPr>
        <w:ind w:left="567" w:hanging="567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 xml:space="preserve">Główny </w:t>
      </w:r>
      <w:r w:rsidR="00277B18" w:rsidRPr="008602DE">
        <w:rPr>
          <w:sz w:val="22"/>
          <w:szCs w:val="22"/>
          <w:lang w:val="pl-PL"/>
        </w:rPr>
        <w:t>Ben</w:t>
      </w:r>
      <w:r w:rsidR="00473FA5" w:rsidRPr="008602DE">
        <w:rPr>
          <w:sz w:val="22"/>
          <w:szCs w:val="22"/>
          <w:lang w:val="pl-PL"/>
        </w:rPr>
        <w:t>e</w:t>
      </w:r>
      <w:r w:rsidR="00277B18" w:rsidRPr="008602DE">
        <w:rPr>
          <w:sz w:val="22"/>
          <w:szCs w:val="22"/>
          <w:lang w:val="pl-PL"/>
        </w:rPr>
        <w:t>ficjent ponosi odpowiedzialność za to, aby wszyscy partnerzy (</w:t>
      </w:r>
      <w:r w:rsidR="0032086A" w:rsidRPr="008602DE">
        <w:rPr>
          <w:sz w:val="22"/>
          <w:szCs w:val="22"/>
          <w:lang w:val="pl-PL"/>
        </w:rPr>
        <w:t>w tym</w:t>
      </w:r>
      <w:r w:rsidR="00277B18" w:rsidRPr="008602DE">
        <w:rPr>
          <w:sz w:val="22"/>
          <w:szCs w:val="22"/>
          <w:lang w:val="pl-PL"/>
        </w:rPr>
        <w:t xml:space="preserve"> </w:t>
      </w:r>
      <w:r w:rsidRPr="008602DE">
        <w:rPr>
          <w:sz w:val="22"/>
          <w:szCs w:val="22"/>
          <w:lang w:val="pl-PL"/>
        </w:rPr>
        <w:t>Główny B</w:t>
      </w:r>
      <w:r w:rsidR="00277B18" w:rsidRPr="008602DE">
        <w:rPr>
          <w:sz w:val="22"/>
          <w:szCs w:val="22"/>
          <w:lang w:val="pl-PL"/>
        </w:rPr>
        <w:t xml:space="preserve">eneficjent) w należyty sposób księgowali wszystkie </w:t>
      </w:r>
      <w:r w:rsidR="00DB6AF1" w:rsidRPr="008602DE">
        <w:rPr>
          <w:sz w:val="22"/>
          <w:szCs w:val="22"/>
          <w:lang w:val="pl-PL"/>
        </w:rPr>
        <w:t xml:space="preserve">koszty/wydatki oraz transakcje związane z otrzymaniem </w:t>
      </w:r>
      <w:r w:rsidR="00126224" w:rsidRPr="008602DE">
        <w:rPr>
          <w:sz w:val="22"/>
          <w:szCs w:val="22"/>
          <w:lang w:val="pl-PL"/>
        </w:rPr>
        <w:t>dofinansowania</w:t>
      </w:r>
      <w:r w:rsidR="00DB6AF1" w:rsidRPr="008602DE">
        <w:rPr>
          <w:sz w:val="22"/>
          <w:szCs w:val="22"/>
          <w:lang w:val="pl-PL"/>
        </w:rPr>
        <w:t xml:space="preserve"> i przesłaniem odpowiednich jego części partnerom</w:t>
      </w:r>
      <w:r w:rsidR="00277B18" w:rsidRPr="008602DE">
        <w:rPr>
          <w:rStyle w:val="Znakapoznpodarou"/>
          <w:iCs/>
          <w:sz w:val="22"/>
          <w:szCs w:val="22"/>
          <w:lang w:val="pl-PL"/>
        </w:rPr>
        <w:footnoteReference w:id="9"/>
      </w:r>
      <w:r w:rsidR="00277B18" w:rsidRPr="008602DE">
        <w:rPr>
          <w:sz w:val="22"/>
          <w:szCs w:val="22"/>
          <w:lang w:val="pl-PL"/>
        </w:rPr>
        <w:t>, a także aby każdy z partnerów (</w:t>
      </w:r>
      <w:r w:rsidR="0032086A" w:rsidRPr="008602DE">
        <w:rPr>
          <w:sz w:val="22"/>
          <w:szCs w:val="22"/>
          <w:lang w:val="pl-PL"/>
        </w:rPr>
        <w:t>w tym</w:t>
      </w:r>
      <w:r w:rsidR="00277B18" w:rsidRPr="008602DE">
        <w:rPr>
          <w:sz w:val="22"/>
          <w:szCs w:val="22"/>
          <w:lang w:val="pl-PL"/>
        </w:rPr>
        <w:t xml:space="preserve"> </w:t>
      </w:r>
      <w:r w:rsidRPr="008602DE">
        <w:rPr>
          <w:sz w:val="22"/>
          <w:szCs w:val="22"/>
          <w:lang w:val="pl-PL"/>
        </w:rPr>
        <w:t>Główny B</w:t>
      </w:r>
      <w:r w:rsidR="00277B18" w:rsidRPr="008602DE">
        <w:rPr>
          <w:sz w:val="22"/>
          <w:szCs w:val="22"/>
          <w:lang w:val="pl-PL"/>
        </w:rPr>
        <w:t xml:space="preserve">eneficjent) prowadził </w:t>
      </w:r>
      <w:r w:rsidR="00277B18" w:rsidRPr="008602DE">
        <w:rPr>
          <w:sz w:val="22"/>
          <w:szCs w:val="22"/>
          <w:lang w:val="pl-PL"/>
        </w:rPr>
        <w:lastRenderedPageBreak/>
        <w:t xml:space="preserve">ewidencję </w:t>
      </w:r>
      <w:r w:rsidR="00323327" w:rsidRPr="008602DE">
        <w:rPr>
          <w:sz w:val="22"/>
          <w:szCs w:val="22"/>
          <w:lang w:val="pl-PL"/>
        </w:rPr>
        <w:t>w sposób wyodrębniony w swojej ewidencji księgowej</w:t>
      </w:r>
      <w:r w:rsidR="007E65CC" w:rsidRPr="008602DE">
        <w:rPr>
          <w:rStyle w:val="Znakapoznpodarou"/>
          <w:iCs/>
          <w:sz w:val="22"/>
          <w:szCs w:val="22"/>
          <w:lang w:val="pl-PL"/>
        </w:rPr>
        <w:footnoteReference w:id="10"/>
      </w:r>
      <w:r w:rsidR="00277B18" w:rsidRPr="008602DE">
        <w:rPr>
          <w:sz w:val="22"/>
          <w:szCs w:val="22"/>
          <w:lang w:val="pl-PL"/>
        </w:rPr>
        <w:t>, zgodnie z prawem kraj</w:t>
      </w:r>
      <w:r w:rsidR="00473FA5" w:rsidRPr="008602DE">
        <w:rPr>
          <w:sz w:val="22"/>
          <w:szCs w:val="22"/>
          <w:lang w:val="pl-PL"/>
        </w:rPr>
        <w:t xml:space="preserve">owym dotyczącym </w:t>
      </w:r>
      <w:r w:rsidR="0032086A" w:rsidRPr="008602DE">
        <w:rPr>
          <w:sz w:val="22"/>
          <w:szCs w:val="22"/>
          <w:lang w:val="pl-PL"/>
        </w:rPr>
        <w:t>rachunkowości</w:t>
      </w:r>
      <w:r w:rsidR="00277B18" w:rsidRPr="008602DE">
        <w:rPr>
          <w:sz w:val="22"/>
          <w:szCs w:val="22"/>
          <w:lang w:val="pl-PL"/>
        </w:rPr>
        <w:t xml:space="preserve">. </w:t>
      </w:r>
    </w:p>
    <w:p w14:paraId="7363AEAE" w14:textId="57DE661E" w:rsidR="00277B18" w:rsidRPr="008602DE" w:rsidRDefault="003B2BD5" w:rsidP="000B7DDC">
      <w:pPr>
        <w:pStyle w:val="Zkladntext3"/>
        <w:widowControl w:val="0"/>
        <w:numPr>
          <w:ilvl w:val="1"/>
          <w:numId w:val="9"/>
        </w:numPr>
        <w:ind w:left="567" w:hanging="567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 xml:space="preserve">Główny </w:t>
      </w:r>
      <w:r w:rsidR="00277B18" w:rsidRPr="008602DE">
        <w:rPr>
          <w:sz w:val="22"/>
          <w:szCs w:val="22"/>
          <w:lang w:val="pl-PL"/>
        </w:rPr>
        <w:t>Beneficjent i wszyscy czescy partnerzy mają obowiązek zapewnić, aby odpowiednie dokumenty związane z projektem spełniały wymagania</w:t>
      </w:r>
      <w:r w:rsidR="0011208A" w:rsidRPr="008602DE">
        <w:rPr>
          <w:sz w:val="22"/>
          <w:szCs w:val="22"/>
          <w:lang w:val="pl-PL"/>
        </w:rPr>
        <w:t xml:space="preserve"> formalne</w:t>
      </w:r>
      <w:r w:rsidR="00277B18" w:rsidRPr="008602DE">
        <w:rPr>
          <w:sz w:val="22"/>
          <w:szCs w:val="22"/>
          <w:lang w:val="pl-PL"/>
        </w:rPr>
        <w:t xml:space="preserve"> dowodu księgowego w rozumieniu § 11 ust. 1 </w:t>
      </w:r>
      <w:r w:rsidR="00092273" w:rsidRPr="008602DE">
        <w:rPr>
          <w:sz w:val="22"/>
          <w:szCs w:val="22"/>
          <w:lang w:val="pl-PL"/>
        </w:rPr>
        <w:t xml:space="preserve">czeskiej </w:t>
      </w:r>
      <w:r w:rsidR="00277B18" w:rsidRPr="008602DE">
        <w:rPr>
          <w:sz w:val="22"/>
          <w:szCs w:val="22"/>
          <w:lang w:val="pl-PL"/>
        </w:rPr>
        <w:t xml:space="preserve">ustawy o </w:t>
      </w:r>
      <w:r w:rsidR="0032086A" w:rsidRPr="008602DE">
        <w:rPr>
          <w:sz w:val="22"/>
          <w:szCs w:val="22"/>
          <w:lang w:val="pl-PL"/>
        </w:rPr>
        <w:t xml:space="preserve">rachunkowości </w:t>
      </w:r>
      <w:r w:rsidR="00277B18" w:rsidRPr="008602DE">
        <w:rPr>
          <w:sz w:val="22"/>
          <w:szCs w:val="22"/>
          <w:lang w:val="pl-PL"/>
        </w:rPr>
        <w:t>(z w</w:t>
      </w:r>
      <w:r w:rsidR="0011208A" w:rsidRPr="008602DE">
        <w:rPr>
          <w:sz w:val="22"/>
          <w:szCs w:val="22"/>
          <w:lang w:val="pl-PL"/>
        </w:rPr>
        <w:t>yjątkiem podpunktu f) tej</w:t>
      </w:r>
      <w:r w:rsidR="00277B18" w:rsidRPr="008602DE">
        <w:rPr>
          <w:sz w:val="22"/>
          <w:szCs w:val="22"/>
          <w:lang w:val="pl-PL"/>
        </w:rPr>
        <w:t xml:space="preserve"> ustawy), a także </w:t>
      </w:r>
      <w:r w:rsidR="001E07AB" w:rsidRPr="008602DE">
        <w:rPr>
          <w:sz w:val="22"/>
          <w:szCs w:val="22"/>
          <w:lang w:val="pl-PL"/>
        </w:rPr>
        <w:t xml:space="preserve">Główny Beneficjent i wszyscy czescy i polscy partnerzy mają obowiązek, </w:t>
      </w:r>
      <w:r w:rsidR="00277B18" w:rsidRPr="008602DE">
        <w:rPr>
          <w:sz w:val="22"/>
          <w:szCs w:val="22"/>
          <w:lang w:val="pl-PL"/>
        </w:rPr>
        <w:t xml:space="preserve">aby dokumenty </w:t>
      </w:r>
      <w:r w:rsidR="001E07AB" w:rsidRPr="008602DE">
        <w:rPr>
          <w:sz w:val="22"/>
          <w:szCs w:val="22"/>
          <w:lang w:val="pl-PL"/>
        </w:rPr>
        <w:t xml:space="preserve">związane z projektem </w:t>
      </w:r>
      <w:r w:rsidR="00277B18" w:rsidRPr="008602DE">
        <w:rPr>
          <w:sz w:val="22"/>
          <w:szCs w:val="22"/>
          <w:lang w:val="pl-PL"/>
        </w:rPr>
        <w:t>były sporządzone poprawnie, kompletnie, w sposób rozstrzygający i przejrzysty, w formie pisemnej, w por</w:t>
      </w:r>
      <w:r w:rsidR="0011208A" w:rsidRPr="008602DE">
        <w:rPr>
          <w:sz w:val="22"/>
          <w:szCs w:val="22"/>
          <w:lang w:val="pl-PL"/>
        </w:rPr>
        <w:t>ządku chronologicznym i w postaci</w:t>
      </w:r>
      <w:r w:rsidR="00277B18" w:rsidRPr="008602DE">
        <w:rPr>
          <w:sz w:val="22"/>
          <w:szCs w:val="22"/>
          <w:lang w:val="pl-PL"/>
        </w:rPr>
        <w:t xml:space="preserve"> zapewniającej ich trwałość</w:t>
      </w:r>
      <w:r w:rsidR="00DB6AF1" w:rsidRPr="008602DE">
        <w:rPr>
          <w:sz w:val="22"/>
          <w:szCs w:val="22"/>
          <w:lang w:val="pl-PL"/>
        </w:rPr>
        <w:t xml:space="preserve"> i aby to już dostawca</w:t>
      </w:r>
      <w:r w:rsidR="0032086A" w:rsidRPr="008602DE">
        <w:rPr>
          <w:sz w:val="22"/>
          <w:szCs w:val="22"/>
          <w:lang w:val="pl-PL"/>
        </w:rPr>
        <w:t>/wykonawca</w:t>
      </w:r>
      <w:r w:rsidR="00DB6AF1" w:rsidRPr="008602DE">
        <w:rPr>
          <w:sz w:val="22"/>
          <w:szCs w:val="22"/>
          <w:lang w:val="pl-PL"/>
        </w:rPr>
        <w:t xml:space="preserve"> </w:t>
      </w:r>
      <w:r w:rsidR="000646B2" w:rsidRPr="008602DE">
        <w:rPr>
          <w:sz w:val="22"/>
          <w:szCs w:val="22"/>
          <w:lang w:val="pl-PL"/>
        </w:rPr>
        <w:t xml:space="preserve">wpisał w nich </w:t>
      </w:r>
      <w:r w:rsidR="00DB6AF1" w:rsidRPr="008602DE">
        <w:rPr>
          <w:sz w:val="22"/>
          <w:szCs w:val="22"/>
          <w:lang w:val="pl-PL"/>
        </w:rPr>
        <w:t>numer projektu z MS</w:t>
      </w:r>
      <w:r w:rsidR="0032086A" w:rsidRPr="008602DE">
        <w:rPr>
          <w:sz w:val="22"/>
          <w:szCs w:val="22"/>
          <w:lang w:val="pl-PL"/>
        </w:rPr>
        <w:t>20</w:t>
      </w:r>
      <w:r w:rsidR="00DB6AF1" w:rsidRPr="008602DE">
        <w:rPr>
          <w:sz w:val="22"/>
          <w:szCs w:val="22"/>
          <w:lang w:val="pl-PL"/>
        </w:rPr>
        <w:t>21+</w:t>
      </w:r>
      <w:r w:rsidR="00277B18" w:rsidRPr="008602DE">
        <w:rPr>
          <w:sz w:val="22"/>
          <w:szCs w:val="22"/>
          <w:lang w:val="pl-PL"/>
        </w:rPr>
        <w:t>.</w:t>
      </w:r>
      <w:r w:rsidR="00DB6AF1" w:rsidRPr="008602DE">
        <w:rPr>
          <w:rStyle w:val="Znakapoznpodarou"/>
          <w:sz w:val="22"/>
          <w:szCs w:val="22"/>
          <w:lang w:val="pl-PL"/>
        </w:rPr>
        <w:footnoteReference w:id="11"/>
      </w:r>
      <w:r w:rsidR="00277B18" w:rsidRPr="008602DE">
        <w:rPr>
          <w:sz w:val="22"/>
          <w:szCs w:val="22"/>
          <w:lang w:val="pl-PL"/>
        </w:rPr>
        <w:t xml:space="preserve"> </w:t>
      </w:r>
    </w:p>
    <w:p w14:paraId="52314332" w14:textId="3107C724" w:rsidR="00277B18" w:rsidRPr="008602DE" w:rsidRDefault="003B2BD5" w:rsidP="000B7DDC">
      <w:pPr>
        <w:pStyle w:val="Zkladntext3"/>
        <w:widowControl w:val="0"/>
        <w:numPr>
          <w:ilvl w:val="1"/>
          <w:numId w:val="9"/>
        </w:numPr>
        <w:ind w:left="567" w:hanging="567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 xml:space="preserve">Główny </w:t>
      </w:r>
      <w:r w:rsidR="00277B18" w:rsidRPr="008602DE">
        <w:rPr>
          <w:sz w:val="22"/>
          <w:szCs w:val="22"/>
          <w:lang w:val="pl-PL"/>
        </w:rPr>
        <w:t>Beneficjent i wszyscy czescy partnerzy mają obowiązek prowadzenia księgowości w sposób, który zagwarantuje jednoznaczne przypisanie pozycji księgowych do konkretnego projektu</w:t>
      </w:r>
      <w:r w:rsidR="00F4520E" w:rsidRPr="008602DE">
        <w:rPr>
          <w:rStyle w:val="Znakapoznpodarou"/>
          <w:sz w:val="22"/>
          <w:szCs w:val="22"/>
          <w:lang w:val="pl-PL"/>
        </w:rPr>
        <w:footnoteReference w:id="12"/>
      </w:r>
      <w:r w:rsidR="00277B18" w:rsidRPr="008602DE">
        <w:rPr>
          <w:sz w:val="22"/>
          <w:szCs w:val="22"/>
          <w:lang w:val="pl-PL"/>
        </w:rPr>
        <w:t xml:space="preserve"> oraz wpisanie ich do ewidencji środków. </w:t>
      </w:r>
    </w:p>
    <w:p w14:paraId="46EBA3EA" w14:textId="788AF2B2" w:rsidR="00277B18" w:rsidRPr="008602DE" w:rsidRDefault="00277B18" w:rsidP="000B7DDC">
      <w:pPr>
        <w:pStyle w:val="Zkladntext3"/>
        <w:widowControl w:val="0"/>
        <w:numPr>
          <w:ilvl w:val="1"/>
          <w:numId w:val="9"/>
        </w:numPr>
        <w:ind w:left="567" w:hanging="567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>Jeżeli któryś z partnerów (</w:t>
      </w:r>
      <w:r w:rsidR="0032086A" w:rsidRPr="008602DE">
        <w:rPr>
          <w:sz w:val="22"/>
          <w:szCs w:val="22"/>
          <w:lang w:val="pl-PL"/>
        </w:rPr>
        <w:t>w tym</w:t>
      </w:r>
      <w:r w:rsidRPr="008602DE">
        <w:rPr>
          <w:sz w:val="22"/>
          <w:szCs w:val="22"/>
          <w:lang w:val="pl-PL"/>
        </w:rPr>
        <w:t xml:space="preserve"> </w:t>
      </w:r>
      <w:r w:rsidR="003B2BD5" w:rsidRPr="008602DE">
        <w:rPr>
          <w:sz w:val="22"/>
          <w:szCs w:val="22"/>
          <w:lang w:val="pl-PL"/>
        </w:rPr>
        <w:t>Główn</w:t>
      </w:r>
      <w:r w:rsidR="0032086A" w:rsidRPr="008602DE">
        <w:rPr>
          <w:sz w:val="22"/>
          <w:szCs w:val="22"/>
          <w:lang w:val="pl-PL"/>
        </w:rPr>
        <w:t>y</w:t>
      </w:r>
      <w:r w:rsidR="003B2BD5" w:rsidRPr="008602DE">
        <w:rPr>
          <w:sz w:val="22"/>
          <w:szCs w:val="22"/>
          <w:lang w:val="pl-PL"/>
        </w:rPr>
        <w:t xml:space="preserve"> B</w:t>
      </w:r>
      <w:r w:rsidRPr="008602DE">
        <w:rPr>
          <w:sz w:val="22"/>
          <w:szCs w:val="22"/>
          <w:lang w:val="pl-PL"/>
        </w:rPr>
        <w:t xml:space="preserve">eneficjent) nie ma obowiązku prowadzenia </w:t>
      </w:r>
      <w:r w:rsidR="0032086A" w:rsidRPr="008602DE">
        <w:rPr>
          <w:sz w:val="22"/>
          <w:szCs w:val="22"/>
          <w:lang w:val="pl-PL"/>
        </w:rPr>
        <w:t>ksiąg rachunkowych</w:t>
      </w:r>
      <w:r w:rsidRPr="008602DE">
        <w:rPr>
          <w:sz w:val="22"/>
          <w:szCs w:val="22"/>
          <w:lang w:val="pl-PL"/>
        </w:rPr>
        <w:t xml:space="preserve">, </w:t>
      </w:r>
      <w:r w:rsidR="0032086A" w:rsidRPr="008602DE">
        <w:rPr>
          <w:sz w:val="22"/>
          <w:szCs w:val="22"/>
          <w:lang w:val="pl-PL"/>
        </w:rPr>
        <w:t>Główny B</w:t>
      </w:r>
      <w:r w:rsidRPr="008602DE">
        <w:rPr>
          <w:sz w:val="22"/>
          <w:szCs w:val="22"/>
          <w:lang w:val="pl-PL"/>
        </w:rPr>
        <w:t xml:space="preserve">eneficjent ponosi odpowiedzialność za to, aby partner ten (ewentualnie </w:t>
      </w:r>
      <w:r w:rsidR="0032086A" w:rsidRPr="008602DE">
        <w:rPr>
          <w:sz w:val="22"/>
          <w:szCs w:val="22"/>
          <w:lang w:val="pl-PL"/>
        </w:rPr>
        <w:t>Główny B</w:t>
      </w:r>
      <w:r w:rsidRPr="008602DE">
        <w:rPr>
          <w:sz w:val="22"/>
          <w:szCs w:val="22"/>
          <w:lang w:val="pl-PL"/>
        </w:rPr>
        <w:t>eneficjent) zgodnie z odpowiednimi krajowymi prz</w:t>
      </w:r>
      <w:r w:rsidR="00473FA5" w:rsidRPr="008602DE">
        <w:rPr>
          <w:sz w:val="22"/>
          <w:szCs w:val="22"/>
          <w:lang w:val="pl-PL"/>
        </w:rPr>
        <w:t>e</w:t>
      </w:r>
      <w:r w:rsidRPr="008602DE">
        <w:rPr>
          <w:sz w:val="22"/>
          <w:szCs w:val="22"/>
          <w:lang w:val="pl-PL"/>
        </w:rPr>
        <w:t xml:space="preserve">pisami prawa prowadził </w:t>
      </w:r>
      <w:r w:rsidR="0032086A" w:rsidRPr="008602DE">
        <w:rPr>
          <w:sz w:val="22"/>
          <w:szCs w:val="22"/>
          <w:lang w:val="pl-PL"/>
        </w:rPr>
        <w:t xml:space="preserve">tzw. </w:t>
      </w:r>
      <w:r w:rsidRPr="008602DE">
        <w:rPr>
          <w:sz w:val="22"/>
          <w:szCs w:val="22"/>
          <w:lang w:val="pl-PL"/>
        </w:rPr>
        <w:t>ewidencję podatkową</w:t>
      </w:r>
      <w:r w:rsidR="0032086A" w:rsidRPr="008602DE">
        <w:rPr>
          <w:sz w:val="22"/>
          <w:szCs w:val="22"/>
          <w:lang w:val="pl-PL"/>
        </w:rPr>
        <w:t xml:space="preserve"> (tj. uproszczoną formę ewidencji księgowej)</w:t>
      </w:r>
      <w:r w:rsidR="0032086A" w:rsidRPr="008602DE">
        <w:rPr>
          <w:rStyle w:val="Znakapoznpodarou"/>
          <w:iCs/>
          <w:sz w:val="22"/>
          <w:szCs w:val="22"/>
          <w:lang w:val="pl-PL"/>
        </w:rPr>
        <w:footnoteReference w:id="13"/>
      </w:r>
      <w:r w:rsidRPr="008602DE">
        <w:rPr>
          <w:sz w:val="22"/>
          <w:szCs w:val="22"/>
          <w:lang w:val="pl-PL"/>
        </w:rPr>
        <w:t xml:space="preserve">, </w:t>
      </w:r>
      <w:r w:rsidR="0050151F" w:rsidRPr="008602DE">
        <w:rPr>
          <w:sz w:val="22"/>
          <w:szCs w:val="22"/>
          <w:lang w:val="pl-PL"/>
        </w:rPr>
        <w:t>roz</w:t>
      </w:r>
      <w:r w:rsidRPr="008602DE">
        <w:rPr>
          <w:sz w:val="22"/>
          <w:szCs w:val="22"/>
          <w:lang w:val="pl-PL"/>
        </w:rPr>
        <w:t xml:space="preserve">szerzoną </w:t>
      </w:r>
      <w:r w:rsidR="00FA75EA" w:rsidRPr="008602DE">
        <w:rPr>
          <w:sz w:val="22"/>
          <w:szCs w:val="22"/>
          <w:lang w:val="pl-PL"/>
        </w:rPr>
        <w:t>na potrzeby</w:t>
      </w:r>
      <w:r w:rsidRPr="008602DE">
        <w:rPr>
          <w:sz w:val="22"/>
          <w:szCs w:val="22"/>
          <w:lang w:val="pl-PL"/>
        </w:rPr>
        <w:t xml:space="preserve"> projektu tak, aby:</w:t>
      </w:r>
    </w:p>
    <w:p w14:paraId="58FC1E2D" w14:textId="276BA6F7" w:rsidR="00277B18" w:rsidRPr="008602DE" w:rsidRDefault="00277B18" w:rsidP="001827C1">
      <w:pPr>
        <w:pStyle w:val="Normlnsodrkami"/>
        <w:numPr>
          <w:ilvl w:val="0"/>
          <w:numId w:val="3"/>
        </w:numPr>
        <w:tabs>
          <w:tab w:val="clear" w:pos="720"/>
        </w:tabs>
        <w:ind w:left="1134"/>
        <w:rPr>
          <w:szCs w:val="22"/>
          <w:lang w:val="pl-PL"/>
        </w:rPr>
      </w:pPr>
      <w:r w:rsidRPr="008602DE">
        <w:rPr>
          <w:szCs w:val="22"/>
          <w:lang w:val="pl-PL"/>
        </w:rPr>
        <w:t>odpowiednie dokumenty związane z projektem spełniały wymagania odnośnie dowodu księgowego, w rozumieniu odpowiedniej ustawy krajowe</w:t>
      </w:r>
      <w:r w:rsidR="005D7139" w:rsidRPr="008602DE">
        <w:rPr>
          <w:szCs w:val="22"/>
          <w:lang w:val="pl-PL"/>
        </w:rPr>
        <w:t xml:space="preserve">j regulującej przepisy dot. </w:t>
      </w:r>
      <w:r w:rsidR="0032086A" w:rsidRPr="008602DE">
        <w:rPr>
          <w:szCs w:val="22"/>
          <w:lang w:val="pl-PL"/>
        </w:rPr>
        <w:t>rachunkowości</w:t>
      </w:r>
      <w:r w:rsidRPr="008602DE">
        <w:rPr>
          <w:szCs w:val="22"/>
          <w:lang w:val="pl-PL"/>
        </w:rPr>
        <w:t xml:space="preserve">; </w:t>
      </w:r>
    </w:p>
    <w:p w14:paraId="5B1E79D7" w14:textId="77777777" w:rsidR="00277B18" w:rsidRPr="008602DE" w:rsidRDefault="00277B18" w:rsidP="001827C1">
      <w:pPr>
        <w:pStyle w:val="Normlnsodrkami"/>
        <w:numPr>
          <w:ilvl w:val="0"/>
          <w:numId w:val="3"/>
        </w:numPr>
        <w:tabs>
          <w:tab w:val="clear" w:pos="720"/>
        </w:tabs>
        <w:ind w:left="1134"/>
        <w:rPr>
          <w:szCs w:val="22"/>
          <w:lang w:val="pl-PL"/>
        </w:rPr>
      </w:pPr>
      <w:r w:rsidRPr="008602DE">
        <w:rPr>
          <w:szCs w:val="22"/>
          <w:lang w:val="pl-PL"/>
        </w:rPr>
        <w:t>odpowiednie dokumenty były poprawne, kompletne, zrozumiałe i jednoznaczne, uporządkowane w sposób chronologiczny i prowadzone w formie zapewniającej trwałość;</w:t>
      </w:r>
    </w:p>
    <w:p w14:paraId="3B35109C" w14:textId="00303745" w:rsidR="00277B18" w:rsidRPr="008602DE" w:rsidRDefault="00277B18" w:rsidP="001827C1">
      <w:pPr>
        <w:pStyle w:val="Normlnsodrkami"/>
        <w:numPr>
          <w:ilvl w:val="0"/>
          <w:numId w:val="3"/>
        </w:numPr>
        <w:tabs>
          <w:tab w:val="clear" w:pos="720"/>
        </w:tabs>
        <w:ind w:left="1134"/>
        <w:rPr>
          <w:szCs w:val="22"/>
          <w:lang w:val="pl-PL"/>
        </w:rPr>
      </w:pPr>
      <w:r w:rsidRPr="008602DE">
        <w:rPr>
          <w:szCs w:val="22"/>
          <w:lang w:val="pl-PL"/>
        </w:rPr>
        <w:t>zrealizowane wydatki ewidencjonowane były w sposób analityczny, w odniesieniu do konkretnego projektu, z którym są powiązane, tzn. że na dokumentach musi widnieć jednoznaczna informacja, do którego projektu się one odnoszą</w:t>
      </w:r>
      <w:r w:rsidR="00F4520E" w:rsidRPr="008602DE">
        <w:rPr>
          <w:rStyle w:val="Znakapoznpodarou"/>
          <w:szCs w:val="22"/>
          <w:lang w:val="pl-PL"/>
        </w:rPr>
        <w:footnoteReference w:id="14"/>
      </w:r>
      <w:r w:rsidRPr="008602DE">
        <w:rPr>
          <w:szCs w:val="22"/>
          <w:lang w:val="pl-PL"/>
        </w:rPr>
        <w:t>.</w:t>
      </w:r>
      <w:r w:rsidR="00351801" w:rsidRPr="008602DE">
        <w:rPr>
          <w:szCs w:val="22"/>
          <w:lang w:val="pl-PL"/>
        </w:rPr>
        <w:t xml:space="preserve"> </w:t>
      </w:r>
      <w:r w:rsidR="00986FD9" w:rsidRPr="008602DE">
        <w:rPr>
          <w:szCs w:val="22"/>
          <w:lang w:val="pl-PL"/>
        </w:rPr>
        <w:t xml:space="preserve">Również </w:t>
      </w:r>
      <w:r w:rsidR="0032086A" w:rsidRPr="008602DE">
        <w:rPr>
          <w:szCs w:val="22"/>
          <w:lang w:val="pl-PL"/>
        </w:rPr>
        <w:t xml:space="preserve">składniki majątku </w:t>
      </w:r>
      <w:r w:rsidR="00986FD9" w:rsidRPr="008602DE">
        <w:rPr>
          <w:szCs w:val="22"/>
          <w:lang w:val="pl-PL"/>
        </w:rPr>
        <w:t xml:space="preserve">i ewentualne </w:t>
      </w:r>
      <w:r w:rsidR="0032086A" w:rsidRPr="008602DE">
        <w:rPr>
          <w:szCs w:val="22"/>
          <w:lang w:val="pl-PL"/>
        </w:rPr>
        <w:t xml:space="preserve">zadłużenie </w:t>
      </w:r>
      <w:r w:rsidR="00986FD9" w:rsidRPr="008602DE">
        <w:rPr>
          <w:szCs w:val="22"/>
          <w:lang w:val="pl-PL"/>
        </w:rPr>
        <w:t>muszą być jednoznacznie powiązane z projektem.</w:t>
      </w:r>
    </w:p>
    <w:p w14:paraId="7DCB12E6" w14:textId="008B3905" w:rsidR="00277B18" w:rsidRPr="008602DE" w:rsidRDefault="00277B18" w:rsidP="001827C1">
      <w:pPr>
        <w:pStyle w:val="Normlnsodrkami"/>
        <w:numPr>
          <w:ilvl w:val="0"/>
          <w:numId w:val="3"/>
        </w:numPr>
        <w:tabs>
          <w:tab w:val="clear" w:pos="720"/>
        </w:tabs>
        <w:ind w:left="1134"/>
        <w:rPr>
          <w:szCs w:val="22"/>
          <w:lang w:val="pl-PL"/>
        </w:rPr>
      </w:pPr>
      <w:r w:rsidRPr="008602DE">
        <w:rPr>
          <w:szCs w:val="22"/>
          <w:lang w:val="pl-PL"/>
        </w:rPr>
        <w:t xml:space="preserve">w trakcie kontroli, na żądanie instytucji kontrolującej </w:t>
      </w:r>
      <w:r w:rsidR="0032086A" w:rsidRPr="008602DE">
        <w:rPr>
          <w:szCs w:val="22"/>
          <w:lang w:val="pl-PL"/>
        </w:rPr>
        <w:t>Główny B</w:t>
      </w:r>
      <w:r w:rsidRPr="008602DE">
        <w:rPr>
          <w:szCs w:val="22"/>
          <w:lang w:val="pl-PL"/>
        </w:rPr>
        <w:t>ene</w:t>
      </w:r>
      <w:r w:rsidR="000F30DC" w:rsidRPr="008602DE">
        <w:rPr>
          <w:szCs w:val="22"/>
          <w:lang w:val="pl-PL"/>
        </w:rPr>
        <w:t>ficjent</w:t>
      </w:r>
      <w:r w:rsidR="0032086A" w:rsidRPr="008602DE">
        <w:rPr>
          <w:szCs w:val="22"/>
          <w:lang w:val="pl-PL"/>
        </w:rPr>
        <w:t>/partner</w:t>
      </w:r>
      <w:r w:rsidR="000F30DC" w:rsidRPr="008602DE">
        <w:rPr>
          <w:szCs w:val="22"/>
          <w:lang w:val="pl-PL"/>
        </w:rPr>
        <w:t xml:space="preserve"> ma obowiązek </w:t>
      </w:r>
      <w:r w:rsidR="0032086A" w:rsidRPr="008602DE">
        <w:rPr>
          <w:szCs w:val="22"/>
          <w:lang w:val="pl-PL"/>
        </w:rPr>
        <w:t xml:space="preserve">przedstawienia uproszczonej </w:t>
      </w:r>
      <w:r w:rsidRPr="008602DE">
        <w:rPr>
          <w:szCs w:val="22"/>
          <w:lang w:val="pl-PL"/>
        </w:rPr>
        <w:t>ewidencji</w:t>
      </w:r>
      <w:r w:rsidR="0032086A" w:rsidRPr="008602DE">
        <w:rPr>
          <w:szCs w:val="22"/>
          <w:lang w:val="pl-PL"/>
        </w:rPr>
        <w:t xml:space="preserve"> lub zapisów w pełnym zakresie.</w:t>
      </w:r>
    </w:p>
    <w:p w14:paraId="72A106C6" w14:textId="77777777" w:rsidR="00277B18" w:rsidRPr="008602DE" w:rsidRDefault="003B2BD5" w:rsidP="000B7DDC">
      <w:pPr>
        <w:pStyle w:val="Zkladntext3"/>
        <w:widowControl w:val="0"/>
        <w:numPr>
          <w:ilvl w:val="1"/>
          <w:numId w:val="9"/>
        </w:numPr>
        <w:ind w:left="567" w:hanging="567"/>
        <w:jc w:val="both"/>
        <w:rPr>
          <w:iCs/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 xml:space="preserve">Główny </w:t>
      </w:r>
      <w:r w:rsidR="00277B18" w:rsidRPr="008602DE">
        <w:rPr>
          <w:sz w:val="22"/>
          <w:szCs w:val="22"/>
          <w:lang w:val="pl-PL"/>
        </w:rPr>
        <w:t>Beneficjent jest również zobowiązany do dokumentowania wszystkich pozycji</w:t>
      </w:r>
      <w:r w:rsidR="005948CB" w:rsidRPr="008602DE">
        <w:rPr>
          <w:rStyle w:val="Znakapoznpodarou"/>
          <w:sz w:val="22"/>
          <w:szCs w:val="22"/>
          <w:lang w:val="pl-PL"/>
        </w:rPr>
        <w:footnoteReference w:id="15"/>
      </w:r>
      <w:r w:rsidR="00277B18" w:rsidRPr="008602DE">
        <w:rPr>
          <w:sz w:val="22"/>
          <w:szCs w:val="22"/>
          <w:lang w:val="pl-PL"/>
        </w:rPr>
        <w:t xml:space="preserve"> </w:t>
      </w:r>
      <w:r w:rsidR="00277B18" w:rsidRPr="008602DE">
        <w:rPr>
          <w:sz w:val="22"/>
          <w:szCs w:val="22"/>
          <w:lang w:val="pl-PL"/>
        </w:rPr>
        <w:lastRenderedPageBreak/>
        <w:t>w sposób rozstrzygający i jednoznaczny w trakcie kolejnych kontroli i audytów przeprowadzanych przez instytucje zgodnie z częścią II punktem 10 niniejszej Decyzji.</w:t>
      </w:r>
    </w:p>
    <w:p w14:paraId="268DD8A3" w14:textId="5835BEDD" w:rsidR="00277B18" w:rsidRPr="008602DE" w:rsidRDefault="003B2BD5" w:rsidP="000B7DDC">
      <w:pPr>
        <w:pStyle w:val="Zkladntext3"/>
        <w:widowControl w:val="0"/>
        <w:numPr>
          <w:ilvl w:val="1"/>
          <w:numId w:val="9"/>
        </w:numPr>
        <w:ind w:left="567" w:hanging="567"/>
        <w:jc w:val="both"/>
        <w:rPr>
          <w:iCs/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>Główny B</w:t>
      </w:r>
      <w:r w:rsidR="00277B18" w:rsidRPr="008602DE">
        <w:rPr>
          <w:sz w:val="22"/>
          <w:szCs w:val="22"/>
          <w:lang w:val="pl-PL"/>
        </w:rPr>
        <w:t>eneficjent ma ponadto obowiązek zapewnić, aby jego dostawcy</w:t>
      </w:r>
      <w:r w:rsidR="0032086A" w:rsidRPr="008602DE">
        <w:rPr>
          <w:sz w:val="22"/>
          <w:szCs w:val="22"/>
          <w:lang w:val="pl-PL"/>
        </w:rPr>
        <w:t>/wykonawcy</w:t>
      </w:r>
      <w:r w:rsidR="00D522C3" w:rsidRPr="008602DE">
        <w:rPr>
          <w:rStyle w:val="Znakapoznpodarou"/>
          <w:sz w:val="22"/>
          <w:szCs w:val="22"/>
          <w:lang w:val="pl-PL"/>
        </w:rPr>
        <w:footnoteReference w:id="16"/>
      </w:r>
      <w:r w:rsidR="00277B18" w:rsidRPr="008602DE">
        <w:rPr>
          <w:sz w:val="22"/>
          <w:szCs w:val="22"/>
          <w:lang w:val="pl-PL"/>
        </w:rPr>
        <w:t xml:space="preserve"> </w:t>
      </w:r>
      <w:r w:rsidR="0032086A" w:rsidRPr="008602DE">
        <w:rPr>
          <w:sz w:val="22"/>
          <w:szCs w:val="22"/>
          <w:lang w:val="pl-PL"/>
        </w:rPr>
        <w:t>w związku</w:t>
      </w:r>
      <w:r w:rsidR="00277B18" w:rsidRPr="008602DE">
        <w:rPr>
          <w:sz w:val="22"/>
          <w:szCs w:val="22"/>
          <w:lang w:val="pl-PL"/>
        </w:rPr>
        <w:t xml:space="preserve"> z projektem </w:t>
      </w:r>
      <w:r w:rsidR="0032086A" w:rsidRPr="008602DE">
        <w:rPr>
          <w:sz w:val="22"/>
          <w:szCs w:val="22"/>
          <w:lang w:val="pl-PL"/>
        </w:rPr>
        <w:t xml:space="preserve">przekazywali do zapłaty </w:t>
      </w:r>
      <w:r w:rsidR="00277B18" w:rsidRPr="008602DE">
        <w:rPr>
          <w:sz w:val="22"/>
          <w:szCs w:val="22"/>
          <w:lang w:val="pl-PL"/>
        </w:rPr>
        <w:t xml:space="preserve">faktury zawierające </w:t>
      </w:r>
      <w:r w:rsidR="003726FB" w:rsidRPr="008602DE">
        <w:rPr>
          <w:sz w:val="22"/>
          <w:szCs w:val="22"/>
          <w:lang w:val="pl-PL"/>
        </w:rPr>
        <w:t xml:space="preserve">również </w:t>
      </w:r>
      <w:r w:rsidR="0032086A" w:rsidRPr="008602DE">
        <w:rPr>
          <w:sz w:val="22"/>
          <w:szCs w:val="22"/>
          <w:lang w:val="pl-PL"/>
        </w:rPr>
        <w:t xml:space="preserve">tytuł </w:t>
      </w:r>
      <w:r w:rsidR="00277B18" w:rsidRPr="008602DE">
        <w:rPr>
          <w:sz w:val="22"/>
          <w:szCs w:val="22"/>
          <w:lang w:val="pl-PL"/>
        </w:rPr>
        <w:t>i numer danego projektu.</w:t>
      </w:r>
      <w:r w:rsidR="00277B18" w:rsidRPr="008602DE">
        <w:rPr>
          <w:rStyle w:val="Znakapoznpodarou"/>
          <w:sz w:val="22"/>
          <w:szCs w:val="22"/>
          <w:lang w:val="pl-PL"/>
        </w:rPr>
        <w:footnoteReference w:id="17"/>
      </w:r>
    </w:p>
    <w:p w14:paraId="2ABC9EB0" w14:textId="77777777" w:rsidR="00277B18" w:rsidRPr="008602DE" w:rsidRDefault="00277B18" w:rsidP="002B7FA0">
      <w:pPr>
        <w:pStyle w:val="Nadpis2"/>
      </w:pPr>
      <w:bookmarkStart w:id="16" w:name="_Toc434755121"/>
      <w:proofErr w:type="spellStart"/>
      <w:r w:rsidRPr="008602DE">
        <w:t>Zamówienia</w:t>
      </w:r>
      <w:proofErr w:type="spellEnd"/>
      <w:r w:rsidRPr="008602DE">
        <w:t xml:space="preserve"> </w:t>
      </w:r>
      <w:proofErr w:type="spellStart"/>
      <w:r w:rsidRPr="008602DE">
        <w:t>publiczne</w:t>
      </w:r>
      <w:bookmarkEnd w:id="16"/>
      <w:proofErr w:type="spellEnd"/>
    </w:p>
    <w:p w14:paraId="212085A1" w14:textId="4FF99062" w:rsidR="00277B18" w:rsidRPr="008602DE" w:rsidRDefault="003B2BD5" w:rsidP="000B7DDC">
      <w:pPr>
        <w:pStyle w:val="Zkladntext3"/>
        <w:widowControl w:val="0"/>
        <w:numPr>
          <w:ilvl w:val="1"/>
          <w:numId w:val="12"/>
        </w:numPr>
        <w:ind w:left="567" w:hanging="573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 xml:space="preserve">Główny </w:t>
      </w:r>
      <w:r w:rsidR="00277B18" w:rsidRPr="008602DE">
        <w:rPr>
          <w:sz w:val="22"/>
          <w:szCs w:val="22"/>
          <w:lang w:val="pl-PL"/>
        </w:rPr>
        <w:t xml:space="preserve">Beneficjent w trakcie realizacji projektu </w:t>
      </w:r>
      <w:r w:rsidR="00C5565D" w:rsidRPr="008602DE">
        <w:rPr>
          <w:sz w:val="22"/>
          <w:szCs w:val="22"/>
          <w:lang w:val="pl-PL"/>
        </w:rPr>
        <w:t xml:space="preserve">ma obowiązek postępowania </w:t>
      </w:r>
      <w:r w:rsidR="00277B18" w:rsidRPr="008602DE">
        <w:rPr>
          <w:sz w:val="22"/>
          <w:szCs w:val="22"/>
          <w:lang w:val="pl-PL"/>
        </w:rPr>
        <w:t>zgodnie z obowiązującymi przepisami prawa krajowego dotyczącymi zamówień publicz</w:t>
      </w:r>
      <w:r w:rsidR="00C5565D" w:rsidRPr="008602DE">
        <w:rPr>
          <w:sz w:val="22"/>
          <w:szCs w:val="22"/>
          <w:lang w:val="pl-PL"/>
        </w:rPr>
        <w:t xml:space="preserve">nych (w Republice Czeskiej: ustawa </w:t>
      </w:r>
      <w:r w:rsidR="00277B18" w:rsidRPr="008602DE">
        <w:rPr>
          <w:sz w:val="22"/>
          <w:szCs w:val="22"/>
          <w:lang w:val="pl-PL"/>
        </w:rPr>
        <w:t xml:space="preserve">nr </w:t>
      </w:r>
      <w:r w:rsidR="00C6230C" w:rsidRPr="008602DE">
        <w:rPr>
          <w:sz w:val="22"/>
          <w:szCs w:val="22"/>
          <w:lang w:val="pl-PL"/>
        </w:rPr>
        <w:t xml:space="preserve">134/2016 </w:t>
      </w:r>
      <w:r w:rsidR="00176A2F" w:rsidRPr="008602DE">
        <w:rPr>
          <w:sz w:val="22"/>
          <w:szCs w:val="22"/>
          <w:lang w:val="pl-PL"/>
        </w:rPr>
        <w:t xml:space="preserve">Dz. U. Rep. Czeskiej, </w:t>
      </w:r>
      <w:r w:rsidR="00C6230C" w:rsidRPr="008602DE">
        <w:rPr>
          <w:sz w:val="22"/>
          <w:szCs w:val="22"/>
          <w:lang w:val="pl-PL"/>
        </w:rPr>
        <w:t xml:space="preserve">w sprawie zlecania zamówień publicznych z późniejszymi zmianami </w:t>
      </w:r>
      <w:r w:rsidR="00C56D62" w:rsidRPr="008602DE">
        <w:rPr>
          <w:sz w:val="22"/>
          <w:szCs w:val="22"/>
          <w:lang w:val="pl-PL"/>
        </w:rPr>
        <w:t>a</w:t>
      </w:r>
      <w:r w:rsidR="00C5565D" w:rsidRPr="008602DE">
        <w:rPr>
          <w:sz w:val="22"/>
          <w:szCs w:val="22"/>
          <w:lang w:val="pl-PL"/>
        </w:rPr>
        <w:t xml:space="preserve"> w Rzeczpospolitej Polskiej: ustawa</w:t>
      </w:r>
      <w:r w:rsidR="00277B18" w:rsidRPr="008602DE">
        <w:rPr>
          <w:sz w:val="22"/>
          <w:szCs w:val="22"/>
          <w:lang w:val="pl-PL"/>
        </w:rPr>
        <w:t xml:space="preserve"> </w:t>
      </w:r>
      <w:r w:rsidR="008534A7" w:rsidRPr="008602DE">
        <w:rPr>
          <w:sz w:val="22"/>
          <w:szCs w:val="22"/>
          <w:lang w:val="pl-PL"/>
        </w:rPr>
        <w:t xml:space="preserve">- </w:t>
      </w:r>
      <w:r w:rsidR="000D624E" w:rsidRPr="008602DE">
        <w:rPr>
          <w:sz w:val="22"/>
          <w:szCs w:val="22"/>
          <w:lang w:val="pl-PL"/>
        </w:rPr>
        <w:t>prawo zamówień publicznych (Dz.U. z 20</w:t>
      </w:r>
      <w:r w:rsidR="00B51683" w:rsidRPr="008602DE">
        <w:rPr>
          <w:sz w:val="22"/>
          <w:szCs w:val="22"/>
          <w:lang w:val="pl-PL"/>
        </w:rPr>
        <w:t>22</w:t>
      </w:r>
      <w:r w:rsidR="000D624E" w:rsidRPr="008602DE">
        <w:rPr>
          <w:sz w:val="22"/>
          <w:szCs w:val="22"/>
          <w:lang w:val="pl-PL"/>
        </w:rPr>
        <w:t xml:space="preserve"> r. poz. </w:t>
      </w:r>
      <w:r w:rsidR="00B51683" w:rsidRPr="008602DE">
        <w:rPr>
          <w:sz w:val="22"/>
          <w:szCs w:val="22"/>
          <w:lang w:val="pl-PL"/>
        </w:rPr>
        <w:t>1710</w:t>
      </w:r>
      <w:r w:rsidR="000D624E" w:rsidRPr="008602DE">
        <w:rPr>
          <w:sz w:val="22"/>
          <w:szCs w:val="22"/>
          <w:lang w:val="pl-PL"/>
        </w:rPr>
        <w:t>)</w:t>
      </w:r>
      <w:r w:rsidR="00277B18" w:rsidRPr="008602DE">
        <w:rPr>
          <w:sz w:val="22"/>
          <w:szCs w:val="22"/>
          <w:lang w:val="pl-PL"/>
        </w:rPr>
        <w:t>, z późniejszymi zmianami</w:t>
      </w:r>
      <w:r w:rsidR="009E2364" w:rsidRPr="008602DE">
        <w:rPr>
          <w:sz w:val="22"/>
          <w:szCs w:val="22"/>
          <w:lang w:val="pl-PL"/>
        </w:rPr>
        <w:t xml:space="preserve"> lub przepisami prawa, które zastąpią przepisy obowiązujące dotychczas</w:t>
      </w:r>
      <w:r w:rsidR="00277B18" w:rsidRPr="008602DE">
        <w:rPr>
          <w:sz w:val="22"/>
          <w:szCs w:val="22"/>
          <w:lang w:val="pl-PL"/>
        </w:rPr>
        <w:t>). W przypadku partnera czeski</w:t>
      </w:r>
      <w:r w:rsidR="00C5565D" w:rsidRPr="008602DE">
        <w:rPr>
          <w:sz w:val="22"/>
          <w:szCs w:val="22"/>
          <w:lang w:val="pl-PL"/>
        </w:rPr>
        <w:t>ego, jeżeli do</w:t>
      </w:r>
      <w:r w:rsidR="00277B18" w:rsidRPr="008602DE">
        <w:rPr>
          <w:sz w:val="22"/>
          <w:szCs w:val="22"/>
          <w:lang w:val="pl-PL"/>
        </w:rPr>
        <w:t xml:space="preserve"> dane</w:t>
      </w:r>
      <w:r w:rsidR="00C5565D" w:rsidRPr="008602DE">
        <w:rPr>
          <w:sz w:val="22"/>
          <w:szCs w:val="22"/>
          <w:lang w:val="pl-PL"/>
        </w:rPr>
        <w:t>go zamówienia publicznego nie stosuje się</w:t>
      </w:r>
      <w:r w:rsidR="00277B18" w:rsidRPr="008602DE">
        <w:rPr>
          <w:sz w:val="22"/>
          <w:szCs w:val="22"/>
          <w:lang w:val="pl-PL"/>
        </w:rPr>
        <w:t xml:space="preserve"> </w:t>
      </w:r>
      <w:r w:rsidR="00C6230C" w:rsidRPr="008602DE">
        <w:rPr>
          <w:sz w:val="22"/>
          <w:szCs w:val="22"/>
          <w:lang w:val="pl-PL"/>
        </w:rPr>
        <w:t xml:space="preserve">ustawy </w:t>
      </w:r>
      <w:r w:rsidR="00277B18" w:rsidRPr="008602DE">
        <w:rPr>
          <w:sz w:val="22"/>
          <w:szCs w:val="22"/>
          <w:lang w:val="pl-PL"/>
        </w:rPr>
        <w:t xml:space="preserve">nr </w:t>
      </w:r>
      <w:r w:rsidR="00C6230C" w:rsidRPr="008602DE">
        <w:rPr>
          <w:sz w:val="22"/>
          <w:szCs w:val="22"/>
          <w:lang w:val="pl-PL"/>
        </w:rPr>
        <w:t xml:space="preserve">134/2016 </w:t>
      </w:r>
      <w:r w:rsidR="00176A2F" w:rsidRPr="008602DE">
        <w:rPr>
          <w:sz w:val="22"/>
          <w:szCs w:val="22"/>
          <w:lang w:val="pl-PL"/>
        </w:rPr>
        <w:t>Dz. U.,</w:t>
      </w:r>
      <w:r w:rsidR="00126224" w:rsidRPr="008602DE">
        <w:rPr>
          <w:sz w:val="22"/>
          <w:szCs w:val="22"/>
          <w:lang w:val="pl-PL"/>
        </w:rPr>
        <w:t xml:space="preserve"> </w:t>
      </w:r>
      <w:r w:rsidR="00C6230C" w:rsidRPr="008602DE">
        <w:rPr>
          <w:sz w:val="22"/>
          <w:szCs w:val="22"/>
          <w:lang w:val="pl-PL"/>
        </w:rPr>
        <w:t>w sprawie zlecania zamówień publicznych z późniejszymi zmianami</w:t>
      </w:r>
      <w:r w:rsidR="00277B18" w:rsidRPr="008602DE">
        <w:rPr>
          <w:sz w:val="22"/>
          <w:szCs w:val="22"/>
          <w:lang w:val="pl-PL"/>
        </w:rPr>
        <w:t>, partner ma obowiązek postępowania zgodnie z Instrukcją Metodologiczną w zakresie przydzielania zamówień w okresie</w:t>
      </w:r>
      <w:r w:rsidR="00C5565D" w:rsidRPr="008602DE">
        <w:rPr>
          <w:sz w:val="22"/>
          <w:szCs w:val="22"/>
          <w:lang w:val="pl-PL"/>
        </w:rPr>
        <w:t xml:space="preserve"> programowania </w:t>
      </w:r>
      <w:r w:rsidR="00C56D62" w:rsidRPr="008602DE">
        <w:rPr>
          <w:sz w:val="22"/>
          <w:szCs w:val="22"/>
          <w:lang w:val="pl-PL"/>
        </w:rPr>
        <w:t>2021 - 2027</w:t>
      </w:r>
      <w:r w:rsidR="00277B18" w:rsidRPr="008602DE">
        <w:rPr>
          <w:sz w:val="22"/>
          <w:szCs w:val="22"/>
          <w:lang w:val="pl-PL"/>
        </w:rPr>
        <w:t xml:space="preserve"> (wyda</w:t>
      </w:r>
      <w:r w:rsidR="008534A7" w:rsidRPr="008602DE">
        <w:rPr>
          <w:sz w:val="22"/>
          <w:szCs w:val="22"/>
          <w:lang w:val="pl-PL"/>
        </w:rPr>
        <w:t>ną przez</w:t>
      </w:r>
      <w:r w:rsidR="00277B18" w:rsidRPr="008602DE">
        <w:rPr>
          <w:sz w:val="22"/>
          <w:szCs w:val="22"/>
          <w:lang w:val="pl-PL"/>
        </w:rPr>
        <w:t xml:space="preserve"> Ministerstwo Rozwoju Regionalnego R</w:t>
      </w:r>
      <w:r w:rsidR="00C5565D" w:rsidRPr="008602DE">
        <w:rPr>
          <w:sz w:val="22"/>
          <w:szCs w:val="22"/>
          <w:lang w:val="pl-PL"/>
        </w:rPr>
        <w:t>ep</w:t>
      </w:r>
      <w:r w:rsidR="008534A7" w:rsidRPr="008602DE">
        <w:rPr>
          <w:sz w:val="22"/>
          <w:szCs w:val="22"/>
          <w:lang w:val="pl-PL"/>
        </w:rPr>
        <w:t>ubliki</w:t>
      </w:r>
      <w:r w:rsidR="00C5565D" w:rsidRPr="008602DE">
        <w:rPr>
          <w:sz w:val="22"/>
          <w:szCs w:val="22"/>
          <w:lang w:val="pl-PL"/>
        </w:rPr>
        <w:t xml:space="preserve"> </w:t>
      </w:r>
      <w:r w:rsidR="00277B18" w:rsidRPr="008602DE">
        <w:rPr>
          <w:sz w:val="22"/>
          <w:szCs w:val="22"/>
          <w:lang w:val="pl-PL"/>
        </w:rPr>
        <w:t>Cz</w:t>
      </w:r>
      <w:r w:rsidR="00C5565D" w:rsidRPr="008602DE">
        <w:rPr>
          <w:sz w:val="22"/>
          <w:szCs w:val="22"/>
          <w:lang w:val="pl-PL"/>
        </w:rPr>
        <w:t>eskiej</w:t>
      </w:r>
      <w:r w:rsidR="00277B18" w:rsidRPr="008602DE">
        <w:rPr>
          <w:sz w:val="22"/>
          <w:szCs w:val="22"/>
          <w:lang w:val="pl-PL"/>
        </w:rPr>
        <w:t xml:space="preserve"> w dniu </w:t>
      </w:r>
      <w:r w:rsidR="00B33494" w:rsidRPr="008602DE">
        <w:rPr>
          <w:sz w:val="22"/>
          <w:szCs w:val="22"/>
          <w:lang w:val="pl-PL"/>
        </w:rPr>
        <w:t>23 sierpnia 2021 r.</w:t>
      </w:r>
      <w:r w:rsidR="00277B18" w:rsidRPr="008602DE">
        <w:rPr>
          <w:sz w:val="22"/>
          <w:szCs w:val="22"/>
          <w:lang w:val="pl-PL"/>
        </w:rPr>
        <w:t xml:space="preserve">, w oparciu o uchwałę </w:t>
      </w:r>
      <w:r w:rsidR="008534A7" w:rsidRPr="008602DE">
        <w:rPr>
          <w:sz w:val="22"/>
          <w:szCs w:val="22"/>
          <w:lang w:val="pl-PL"/>
        </w:rPr>
        <w:t xml:space="preserve">Rady Ministrów </w:t>
      </w:r>
      <w:r w:rsidR="00277B18" w:rsidRPr="008602DE">
        <w:rPr>
          <w:sz w:val="22"/>
          <w:szCs w:val="22"/>
          <w:lang w:val="pl-PL"/>
        </w:rPr>
        <w:t>Republiki Czeskiej nr</w:t>
      </w:r>
      <w:r w:rsidR="00B33494" w:rsidRPr="008602DE">
        <w:rPr>
          <w:sz w:val="22"/>
          <w:szCs w:val="22"/>
          <w:lang w:val="pl-PL"/>
        </w:rPr>
        <w:t xml:space="preserve"> 284/2019</w:t>
      </w:r>
      <w:r w:rsidR="00277B18" w:rsidRPr="008602DE">
        <w:rPr>
          <w:sz w:val="22"/>
          <w:szCs w:val="22"/>
          <w:lang w:val="pl-PL"/>
        </w:rPr>
        <w:t>)</w:t>
      </w:r>
      <w:r w:rsidR="00B33494" w:rsidRPr="008602DE">
        <w:rPr>
          <w:sz w:val="22"/>
          <w:szCs w:val="22"/>
          <w:lang w:val="pl-PL"/>
        </w:rPr>
        <w:t xml:space="preserve"> z późniejszymi zmianami</w:t>
      </w:r>
      <w:r w:rsidR="00277B18" w:rsidRPr="008602DE">
        <w:rPr>
          <w:sz w:val="22"/>
          <w:szCs w:val="22"/>
          <w:lang w:val="pl-PL"/>
        </w:rPr>
        <w:t>.</w:t>
      </w:r>
      <w:r w:rsidR="001B2116" w:rsidRPr="008602DE">
        <w:rPr>
          <w:sz w:val="22"/>
          <w:szCs w:val="22"/>
          <w:lang w:val="pl-PL"/>
        </w:rPr>
        <w:t xml:space="preserve"> </w:t>
      </w:r>
      <w:bookmarkStart w:id="17" w:name="_Hlk121340805"/>
      <w:r w:rsidR="001B2116" w:rsidRPr="008602DE">
        <w:rPr>
          <w:sz w:val="22"/>
          <w:szCs w:val="22"/>
          <w:lang w:val="pl-PL"/>
        </w:rPr>
        <w:t>W przypadku partnera polskiego</w:t>
      </w:r>
      <w:bookmarkStart w:id="18" w:name="_Hlk121340904"/>
      <w:r w:rsidR="001B2116" w:rsidRPr="008602DE">
        <w:rPr>
          <w:sz w:val="22"/>
          <w:szCs w:val="22"/>
          <w:lang w:val="pl-PL"/>
        </w:rPr>
        <w:t xml:space="preserve">, jeżeli do danego zamówienia publicznego nie stosuje się ustawy </w:t>
      </w:r>
      <w:r w:rsidR="008B2AD9" w:rsidRPr="008602DE">
        <w:rPr>
          <w:sz w:val="22"/>
          <w:szCs w:val="22"/>
          <w:lang w:val="pl-PL"/>
        </w:rPr>
        <w:t>-</w:t>
      </w:r>
      <w:r w:rsidR="00913D57" w:rsidRPr="008602DE">
        <w:rPr>
          <w:sz w:val="22"/>
          <w:szCs w:val="22"/>
          <w:lang w:val="pl-PL"/>
        </w:rPr>
        <w:t xml:space="preserve"> </w:t>
      </w:r>
      <w:r w:rsidR="008B2AD9" w:rsidRPr="008602DE">
        <w:rPr>
          <w:sz w:val="22"/>
          <w:szCs w:val="22"/>
          <w:lang w:val="pl-PL"/>
        </w:rPr>
        <w:t>prawo zamówień publicznych (Dz.U. z 2022 r. poz. 1710), z późniejszymi zmianami lub przepisami prawa, które zastąpią przepisy obowiązujące dotychczas)</w:t>
      </w:r>
      <w:r w:rsidR="001B2116" w:rsidRPr="008602DE">
        <w:rPr>
          <w:sz w:val="22"/>
          <w:szCs w:val="22"/>
          <w:lang w:val="pl-PL"/>
        </w:rPr>
        <w:t>, partner ma obowiązek postępowania zgodnie z</w:t>
      </w:r>
      <w:r w:rsidR="008B2AD9" w:rsidRPr="008602DE">
        <w:rPr>
          <w:sz w:val="22"/>
          <w:szCs w:val="22"/>
          <w:lang w:val="pl-PL"/>
        </w:rPr>
        <w:t xml:space="preserve"> </w:t>
      </w:r>
      <w:r w:rsidR="00913D57" w:rsidRPr="008602DE">
        <w:rPr>
          <w:sz w:val="22"/>
          <w:szCs w:val="22"/>
          <w:lang w:val="pl-PL"/>
        </w:rPr>
        <w:t>załącznikiem</w:t>
      </w:r>
      <w:r w:rsidR="008B2AD9" w:rsidRPr="008602DE">
        <w:rPr>
          <w:sz w:val="22"/>
          <w:szCs w:val="22"/>
          <w:lang w:val="pl-PL"/>
        </w:rPr>
        <w:t xml:space="preserve"> </w:t>
      </w:r>
      <w:r w:rsidR="000C0DB3" w:rsidRPr="008602DE">
        <w:rPr>
          <w:sz w:val="22"/>
          <w:szCs w:val="22"/>
          <w:lang w:val="pl-PL"/>
        </w:rPr>
        <w:t>nr 9</w:t>
      </w:r>
      <w:r w:rsidR="00695755" w:rsidRPr="008602DE">
        <w:rPr>
          <w:sz w:val="22"/>
          <w:szCs w:val="22"/>
          <w:lang w:val="pl-PL"/>
        </w:rPr>
        <w:t xml:space="preserve"> „</w:t>
      </w:r>
      <w:r w:rsidR="00DE3656" w:rsidRPr="008602DE">
        <w:rPr>
          <w:sz w:val="22"/>
          <w:szCs w:val="22"/>
          <w:lang w:val="pl-PL"/>
        </w:rPr>
        <w:t>S</w:t>
      </w:r>
      <w:r w:rsidR="00695755" w:rsidRPr="008602DE">
        <w:rPr>
          <w:sz w:val="22"/>
          <w:szCs w:val="22"/>
          <w:lang w:val="pl-PL"/>
        </w:rPr>
        <w:t>zczegółowe</w:t>
      </w:r>
      <w:r w:rsidR="00DE3656" w:rsidRPr="008602DE">
        <w:rPr>
          <w:sz w:val="22"/>
          <w:szCs w:val="22"/>
          <w:lang w:val="pl-PL"/>
        </w:rPr>
        <w:t xml:space="preserve"> zasady</w:t>
      </w:r>
      <w:r w:rsidR="00695755" w:rsidRPr="008602DE">
        <w:rPr>
          <w:sz w:val="22"/>
          <w:szCs w:val="22"/>
          <w:lang w:val="pl-PL"/>
        </w:rPr>
        <w:t xml:space="preserve"> udzielania zamówień w </w:t>
      </w:r>
      <w:r w:rsidR="00DE3656" w:rsidRPr="008602DE">
        <w:rPr>
          <w:sz w:val="22"/>
          <w:szCs w:val="22"/>
          <w:lang w:val="pl-PL"/>
        </w:rPr>
        <w:t>ramach zasady konkurencyjności dla polskich partnerów</w:t>
      </w:r>
      <w:r w:rsidR="00695755" w:rsidRPr="008602DE">
        <w:rPr>
          <w:sz w:val="22"/>
          <w:szCs w:val="22"/>
          <w:lang w:val="pl-PL"/>
        </w:rPr>
        <w:t xml:space="preserve">” </w:t>
      </w:r>
      <w:r w:rsidR="008B2AD9" w:rsidRPr="008602DE">
        <w:rPr>
          <w:sz w:val="22"/>
          <w:szCs w:val="22"/>
          <w:lang w:val="pl-PL"/>
        </w:rPr>
        <w:t>Podręcznika Wnioskodawcy.</w:t>
      </w:r>
      <w:bookmarkEnd w:id="18"/>
    </w:p>
    <w:bookmarkEnd w:id="17"/>
    <w:p w14:paraId="77B33419" w14:textId="2FECBAA0" w:rsidR="00277B18" w:rsidRPr="008602DE" w:rsidRDefault="003B2BD5" w:rsidP="000B7DDC">
      <w:pPr>
        <w:pStyle w:val="Zkladntext3"/>
        <w:widowControl w:val="0"/>
        <w:numPr>
          <w:ilvl w:val="1"/>
          <w:numId w:val="12"/>
        </w:numPr>
        <w:ind w:left="567" w:hanging="573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 xml:space="preserve">Główny </w:t>
      </w:r>
      <w:r w:rsidR="00277B18" w:rsidRPr="008602DE">
        <w:rPr>
          <w:sz w:val="22"/>
          <w:szCs w:val="22"/>
          <w:lang w:val="pl-PL"/>
        </w:rPr>
        <w:t xml:space="preserve">Beneficjent odpowiada również za zapewnienie Kontrolerom </w:t>
      </w:r>
      <w:r w:rsidR="008534A7" w:rsidRPr="008602DE">
        <w:rPr>
          <w:sz w:val="22"/>
          <w:szCs w:val="22"/>
          <w:lang w:val="pl-PL"/>
        </w:rPr>
        <w:t xml:space="preserve">możliwości </w:t>
      </w:r>
      <w:r w:rsidR="00277B18" w:rsidRPr="008602DE">
        <w:rPr>
          <w:sz w:val="22"/>
          <w:szCs w:val="22"/>
          <w:lang w:val="pl-PL"/>
        </w:rPr>
        <w:t>dostępu do wszelkiej dokumentac</w:t>
      </w:r>
      <w:r w:rsidR="00C5565D" w:rsidRPr="008602DE">
        <w:rPr>
          <w:sz w:val="22"/>
          <w:szCs w:val="22"/>
          <w:lang w:val="pl-PL"/>
        </w:rPr>
        <w:t>ji związanej z zawieraniem umów.</w:t>
      </w:r>
    </w:p>
    <w:p w14:paraId="30E28F48" w14:textId="77777777" w:rsidR="00277B18" w:rsidRPr="008602DE" w:rsidRDefault="00277B18" w:rsidP="002B7FA0">
      <w:pPr>
        <w:pStyle w:val="Nadpis2"/>
      </w:pPr>
      <w:bookmarkStart w:id="19" w:name="_Toc434755122"/>
      <w:r w:rsidRPr="008602DE">
        <w:t xml:space="preserve">Pomoc </w:t>
      </w:r>
      <w:proofErr w:type="spellStart"/>
      <w:r w:rsidRPr="008602DE">
        <w:t>publiczna</w:t>
      </w:r>
      <w:proofErr w:type="spellEnd"/>
      <w:r w:rsidRPr="008602DE">
        <w:t xml:space="preserve">, </w:t>
      </w:r>
      <w:bookmarkEnd w:id="19"/>
      <w:proofErr w:type="spellStart"/>
      <w:r w:rsidRPr="008602DE">
        <w:t>zasady</w:t>
      </w:r>
      <w:proofErr w:type="spellEnd"/>
      <w:r w:rsidRPr="008602DE">
        <w:t xml:space="preserve"> </w:t>
      </w:r>
      <w:proofErr w:type="spellStart"/>
      <w:r w:rsidRPr="008602DE">
        <w:t>horyzontalne</w:t>
      </w:r>
      <w:proofErr w:type="spellEnd"/>
    </w:p>
    <w:p w14:paraId="7E9F7BB8" w14:textId="7459EC44" w:rsidR="00277B18" w:rsidRPr="008602DE" w:rsidRDefault="003B2BD5" w:rsidP="001827C1">
      <w:pPr>
        <w:jc w:val="both"/>
        <w:rPr>
          <w:lang w:val="pl-PL"/>
        </w:rPr>
      </w:pPr>
      <w:r w:rsidRPr="008602DE">
        <w:rPr>
          <w:szCs w:val="24"/>
          <w:lang w:val="pl-PL"/>
        </w:rPr>
        <w:t xml:space="preserve">Główny </w:t>
      </w:r>
      <w:r w:rsidR="00277B18" w:rsidRPr="008602DE">
        <w:rPr>
          <w:lang w:val="pl-PL"/>
        </w:rPr>
        <w:t>Beneficjent ponosi</w:t>
      </w:r>
      <w:r w:rsidR="00C5565D" w:rsidRPr="008602DE">
        <w:rPr>
          <w:lang w:val="pl-PL"/>
        </w:rPr>
        <w:t xml:space="preserve"> odpowiedzialność za to, że w trakcie realizacji projektu oraz w</w:t>
      </w:r>
      <w:r w:rsidR="00277B18" w:rsidRPr="008602DE">
        <w:rPr>
          <w:lang w:val="pl-PL"/>
        </w:rPr>
        <w:t xml:space="preserve"> okres</w:t>
      </w:r>
      <w:r w:rsidR="00C5565D" w:rsidRPr="008602DE">
        <w:rPr>
          <w:lang w:val="pl-PL"/>
        </w:rPr>
        <w:t>ie</w:t>
      </w:r>
      <w:r w:rsidR="00277B18" w:rsidRPr="008602DE">
        <w:rPr>
          <w:lang w:val="pl-PL"/>
        </w:rPr>
        <w:t xml:space="preserve"> zdefiniowany</w:t>
      </w:r>
      <w:r w:rsidR="00C5565D" w:rsidRPr="008602DE">
        <w:rPr>
          <w:lang w:val="pl-PL"/>
        </w:rPr>
        <w:t>m</w:t>
      </w:r>
      <w:r w:rsidR="00277B18" w:rsidRPr="008602DE">
        <w:rPr>
          <w:lang w:val="pl-PL"/>
        </w:rPr>
        <w:t xml:space="preserve"> w części II punk</w:t>
      </w:r>
      <w:r w:rsidR="00034739" w:rsidRPr="008602DE">
        <w:rPr>
          <w:lang w:val="pl-PL"/>
        </w:rPr>
        <w:t>cie</w:t>
      </w:r>
      <w:r w:rsidR="00277B18" w:rsidRPr="008602DE">
        <w:rPr>
          <w:lang w:val="pl-PL"/>
        </w:rPr>
        <w:t xml:space="preserve"> 3 niniejszej Decyzji przestrzegane będą obowiązujące przepisy prawa dotyczące pomocy publicznej</w:t>
      </w:r>
      <w:r w:rsidR="005C023C">
        <w:rPr>
          <w:lang w:val="pl-PL"/>
        </w:rPr>
        <w:t xml:space="preserve"> / pomocy de minimis</w:t>
      </w:r>
      <w:r w:rsidR="00277B18" w:rsidRPr="008602DE">
        <w:rPr>
          <w:lang w:val="pl-PL"/>
        </w:rPr>
        <w:t xml:space="preserve"> i zasad horyzontalnych (równe szanse i brak dyskryminacji, równoupraw</w:t>
      </w:r>
      <w:r w:rsidR="00C5565D" w:rsidRPr="008602DE">
        <w:rPr>
          <w:lang w:val="pl-PL"/>
        </w:rPr>
        <w:t>n</w:t>
      </w:r>
      <w:r w:rsidR="00277B18" w:rsidRPr="008602DE">
        <w:rPr>
          <w:lang w:val="pl-PL"/>
        </w:rPr>
        <w:t>ienie mężczyzn i kobiet oraz zrównoważony rozwój).</w:t>
      </w:r>
    </w:p>
    <w:p w14:paraId="475A3562" w14:textId="77777777" w:rsidR="00277B18" w:rsidRPr="008602DE" w:rsidRDefault="00277B18" w:rsidP="002B7FA0">
      <w:pPr>
        <w:pStyle w:val="Nadpis2"/>
      </w:pPr>
      <w:bookmarkStart w:id="20" w:name="_Toc434755123"/>
      <w:r w:rsidRPr="008602DE">
        <w:t>Kontrola/</w:t>
      </w:r>
      <w:proofErr w:type="spellStart"/>
      <w:r w:rsidRPr="008602DE">
        <w:t>audyt</w:t>
      </w:r>
      <w:proofErr w:type="spellEnd"/>
      <w:r w:rsidRPr="008602DE">
        <w:rPr>
          <w:rStyle w:val="Znakapoznpodarou"/>
          <w:lang w:val="pl-PL"/>
        </w:rPr>
        <w:footnoteReference w:id="18"/>
      </w:r>
      <w:bookmarkEnd w:id="20"/>
    </w:p>
    <w:p w14:paraId="6ABECE09" w14:textId="25959BAD" w:rsidR="00277B18" w:rsidRPr="008602DE" w:rsidRDefault="00C5565D" w:rsidP="000B7DDC">
      <w:pPr>
        <w:pStyle w:val="Zkladntext3"/>
        <w:widowControl w:val="0"/>
        <w:numPr>
          <w:ilvl w:val="1"/>
          <w:numId w:val="10"/>
        </w:numPr>
        <w:ind w:left="567" w:hanging="567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>W</w:t>
      </w:r>
      <w:r w:rsidR="00277B18" w:rsidRPr="008602DE">
        <w:rPr>
          <w:sz w:val="22"/>
          <w:szCs w:val="22"/>
          <w:lang w:val="pl-PL"/>
        </w:rPr>
        <w:t xml:space="preserve"> celu weryfikacji realizacji obowiązków wynikających z niniejszej Decyzji lub </w:t>
      </w:r>
      <w:r w:rsidR="00C77C9F" w:rsidRPr="008602DE">
        <w:rPr>
          <w:sz w:val="22"/>
          <w:szCs w:val="22"/>
          <w:lang w:val="pl-PL"/>
        </w:rPr>
        <w:t>odpowiednich</w:t>
      </w:r>
      <w:r w:rsidR="009E2364" w:rsidRPr="008602DE">
        <w:rPr>
          <w:sz w:val="22"/>
          <w:szCs w:val="22"/>
          <w:lang w:val="pl-PL"/>
        </w:rPr>
        <w:t xml:space="preserve"> </w:t>
      </w:r>
      <w:r w:rsidR="00277B18" w:rsidRPr="008602DE">
        <w:rPr>
          <w:sz w:val="22"/>
          <w:szCs w:val="22"/>
          <w:lang w:val="pl-PL"/>
        </w:rPr>
        <w:t>przepisów prawa,</w:t>
      </w:r>
      <w:r w:rsidR="003B2BD5" w:rsidRPr="008602DE">
        <w:rPr>
          <w:sz w:val="22"/>
          <w:szCs w:val="22"/>
          <w:lang w:val="pl-PL"/>
        </w:rPr>
        <w:t xml:space="preserve"> Główny B</w:t>
      </w:r>
      <w:r w:rsidRPr="008602DE">
        <w:rPr>
          <w:sz w:val="22"/>
          <w:szCs w:val="22"/>
          <w:lang w:val="pl-PL"/>
        </w:rPr>
        <w:t>eneficjent dofinansowania</w:t>
      </w:r>
      <w:r w:rsidR="003B2BD5" w:rsidRPr="008602DE">
        <w:rPr>
          <w:sz w:val="22"/>
          <w:szCs w:val="22"/>
          <w:lang w:val="pl-PL"/>
        </w:rPr>
        <w:t xml:space="preserve"> </w:t>
      </w:r>
      <w:r w:rsidRPr="008602DE">
        <w:rPr>
          <w:sz w:val="22"/>
          <w:szCs w:val="22"/>
          <w:lang w:val="pl-PL"/>
        </w:rPr>
        <w:t>zobowiązany jest do</w:t>
      </w:r>
      <w:r w:rsidR="00277B18" w:rsidRPr="008602DE">
        <w:rPr>
          <w:sz w:val="22"/>
          <w:szCs w:val="22"/>
          <w:lang w:val="pl-PL"/>
        </w:rPr>
        <w:t xml:space="preserve"> stworzenia warunków umożliwiających przeprowadzenie kontroli lub audytu</w:t>
      </w:r>
      <w:r w:rsidRPr="008602DE">
        <w:rPr>
          <w:sz w:val="22"/>
          <w:szCs w:val="22"/>
          <w:lang w:val="pl-PL"/>
        </w:rPr>
        <w:t>,</w:t>
      </w:r>
      <w:r w:rsidR="00277B18" w:rsidRPr="008602DE">
        <w:rPr>
          <w:sz w:val="22"/>
          <w:szCs w:val="22"/>
          <w:lang w:val="pl-PL"/>
        </w:rPr>
        <w:t xml:space="preserve"> związanych z realizacją projektu</w:t>
      </w:r>
      <w:r w:rsidRPr="008602DE">
        <w:rPr>
          <w:sz w:val="22"/>
          <w:szCs w:val="22"/>
          <w:lang w:val="pl-PL"/>
        </w:rPr>
        <w:t>,</w:t>
      </w:r>
      <w:r w:rsidR="00277B18" w:rsidRPr="008602DE">
        <w:rPr>
          <w:sz w:val="22"/>
          <w:szCs w:val="22"/>
          <w:lang w:val="pl-PL"/>
        </w:rPr>
        <w:t xml:space="preserve"> oraz umożliwienia osobie kontrolującej wykonanie jej </w:t>
      </w:r>
      <w:r w:rsidR="00277B18" w:rsidRPr="008602DE">
        <w:rPr>
          <w:sz w:val="22"/>
          <w:szCs w:val="22"/>
          <w:lang w:val="pl-PL"/>
        </w:rPr>
        <w:lastRenderedPageBreak/>
        <w:t>obowiązków i uprawnień regulowanych przez odpowiednie przepisy prawa. Obowiązek ten musi obejmować również pozostałych partnerów, na zasadzie stosunków umownych.</w:t>
      </w:r>
      <w:r w:rsidRPr="008602DE">
        <w:rPr>
          <w:sz w:val="22"/>
          <w:szCs w:val="22"/>
          <w:lang w:val="pl-PL"/>
        </w:rPr>
        <w:t xml:space="preserve"> </w:t>
      </w:r>
      <w:r w:rsidR="003B2BD5" w:rsidRPr="008602DE">
        <w:rPr>
          <w:sz w:val="22"/>
          <w:szCs w:val="22"/>
          <w:lang w:val="pl-PL"/>
        </w:rPr>
        <w:t xml:space="preserve">Główny </w:t>
      </w:r>
      <w:r w:rsidRPr="008602DE">
        <w:rPr>
          <w:sz w:val="22"/>
          <w:szCs w:val="22"/>
          <w:lang w:val="pl-PL"/>
        </w:rPr>
        <w:t>Beneficjent ma w szczególności</w:t>
      </w:r>
      <w:r w:rsidR="00277B18" w:rsidRPr="008602DE">
        <w:rPr>
          <w:sz w:val="22"/>
          <w:szCs w:val="22"/>
          <w:lang w:val="pl-PL"/>
        </w:rPr>
        <w:t xml:space="preserve"> obowiązek udostępnienia wszystkich dokumentów związanych z realizacją projektu, umożliwienia regularnej kontroli zgodności danych o realizacji projektu podawanych w raportach z realizacji projektu lub trwałości projektu z jego faktycznym stanem w miejscu jego realizacji, a także zapewnienia kooperacji ze wszystkimi instytucjami uprawnionymi do realizacji kontroli/audytu. Organami tymi są Instytucja Zarządzająca jako podmiot udzielając</w:t>
      </w:r>
      <w:r w:rsidRPr="008602DE">
        <w:rPr>
          <w:sz w:val="22"/>
          <w:szCs w:val="22"/>
          <w:lang w:val="pl-PL"/>
        </w:rPr>
        <w:t>y dofinansowania, jej podmiot pośrednicz</w:t>
      </w:r>
      <w:r w:rsidR="00277B18" w:rsidRPr="008602DE">
        <w:rPr>
          <w:sz w:val="22"/>
          <w:szCs w:val="22"/>
          <w:lang w:val="pl-PL"/>
        </w:rPr>
        <w:t xml:space="preserve">ący (Kontrolerzy, Wspólny Sekretariat), Instytucja Krajowa, Instytucja </w:t>
      </w:r>
      <w:r w:rsidR="00323327" w:rsidRPr="008602DE">
        <w:rPr>
          <w:sz w:val="22"/>
          <w:szCs w:val="22"/>
          <w:lang w:val="pl-PL"/>
        </w:rPr>
        <w:t>Audytowa</w:t>
      </w:r>
      <w:r w:rsidR="00277B18" w:rsidRPr="008602DE">
        <w:rPr>
          <w:sz w:val="22"/>
          <w:szCs w:val="22"/>
          <w:lang w:val="pl-PL"/>
        </w:rPr>
        <w:t>, Komisja Europejska, Europejski Trybunał Obrachunkowy i inne instytucje krajowe</w:t>
      </w:r>
      <w:r w:rsidR="00277B18" w:rsidRPr="008602DE">
        <w:rPr>
          <w:sz w:val="22"/>
          <w:szCs w:val="22"/>
          <w:vertAlign w:val="superscript"/>
          <w:lang w:val="pl-PL"/>
        </w:rPr>
        <w:footnoteReference w:id="19"/>
      </w:r>
      <w:r w:rsidR="00277B18" w:rsidRPr="008602DE">
        <w:rPr>
          <w:sz w:val="22"/>
          <w:szCs w:val="22"/>
          <w:lang w:val="pl-PL"/>
        </w:rPr>
        <w:t xml:space="preserve"> uprawnione do przeprowadzania kontroli. </w:t>
      </w:r>
    </w:p>
    <w:p w14:paraId="34F31C84" w14:textId="4394F148" w:rsidR="00277B18" w:rsidRPr="008602DE" w:rsidRDefault="003B2BD5" w:rsidP="000B7DDC">
      <w:pPr>
        <w:pStyle w:val="Zkladntext3"/>
        <w:widowControl w:val="0"/>
        <w:numPr>
          <w:ilvl w:val="1"/>
          <w:numId w:val="10"/>
        </w:numPr>
        <w:ind w:left="567" w:hanging="567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 xml:space="preserve">Główny </w:t>
      </w:r>
      <w:r w:rsidR="00277B18" w:rsidRPr="008602DE">
        <w:rPr>
          <w:sz w:val="22"/>
          <w:szCs w:val="22"/>
          <w:lang w:val="pl-PL"/>
        </w:rPr>
        <w:t xml:space="preserve">Beneficjent ma ponadto obowiązek wdrażania środków, mających na celu usunięcie nieprawidłowości i uchybień wykrytych w trakcie powyższych kontroli, które zalecone zostały przez instytucje uprawnione do przeprowadzania kontroli/audytu w oparciu o przeprowadzone kontrole/audyty, w terminie, zakresie i jakości zgodnej z wymaganiami danej instytucji. </w:t>
      </w:r>
      <w:r w:rsidRPr="008602DE">
        <w:rPr>
          <w:sz w:val="22"/>
          <w:szCs w:val="22"/>
          <w:lang w:val="pl-PL"/>
        </w:rPr>
        <w:t xml:space="preserve">Główny </w:t>
      </w:r>
      <w:r w:rsidR="00277B18" w:rsidRPr="008602DE">
        <w:rPr>
          <w:sz w:val="22"/>
          <w:szCs w:val="22"/>
          <w:lang w:val="pl-PL"/>
        </w:rPr>
        <w:t xml:space="preserve">Beneficjent ma </w:t>
      </w:r>
      <w:r w:rsidR="00BF26D0" w:rsidRPr="008602DE">
        <w:rPr>
          <w:sz w:val="22"/>
          <w:szCs w:val="22"/>
          <w:lang w:val="pl-PL"/>
        </w:rPr>
        <w:t>obowiązek umieszczania informacji dotyczących</w:t>
      </w:r>
      <w:r w:rsidR="00277B18" w:rsidRPr="008602DE">
        <w:rPr>
          <w:sz w:val="22"/>
          <w:szCs w:val="22"/>
          <w:lang w:val="pl-PL"/>
        </w:rPr>
        <w:t xml:space="preserve"> przeprowadzonych kontroli/audytów, ich wynikach i stanie wdrażania środków zaproponowanych przez kontrole/audyty</w:t>
      </w:r>
      <w:r w:rsidR="00BF26D0" w:rsidRPr="008602DE">
        <w:rPr>
          <w:sz w:val="22"/>
          <w:szCs w:val="22"/>
          <w:lang w:val="pl-PL"/>
        </w:rPr>
        <w:t>,</w:t>
      </w:r>
      <w:r w:rsidR="00277B18" w:rsidRPr="008602DE">
        <w:rPr>
          <w:sz w:val="22"/>
          <w:szCs w:val="22"/>
          <w:lang w:val="pl-PL"/>
        </w:rPr>
        <w:t xml:space="preserve"> w regularnych raportach z realizacji lub raportach z trwałości projektu. Na wniosek Instytucji Zarządzaj</w:t>
      </w:r>
      <w:r w:rsidR="00BF26D0" w:rsidRPr="008602DE">
        <w:rPr>
          <w:sz w:val="22"/>
          <w:szCs w:val="22"/>
          <w:lang w:val="pl-PL"/>
        </w:rPr>
        <w:t xml:space="preserve">ącej jako podmiotu </w:t>
      </w:r>
      <w:r w:rsidR="00F005D9" w:rsidRPr="008602DE">
        <w:rPr>
          <w:sz w:val="22"/>
          <w:szCs w:val="22"/>
          <w:lang w:val="pl-PL"/>
        </w:rPr>
        <w:t>udzielają</w:t>
      </w:r>
      <w:r w:rsidR="00BF26D0" w:rsidRPr="008602DE">
        <w:rPr>
          <w:sz w:val="22"/>
          <w:szCs w:val="22"/>
          <w:lang w:val="pl-PL"/>
        </w:rPr>
        <w:t>cego dofinansowani</w:t>
      </w:r>
      <w:r w:rsidR="00F005D9" w:rsidRPr="008602DE">
        <w:rPr>
          <w:sz w:val="22"/>
          <w:szCs w:val="22"/>
          <w:lang w:val="pl-PL"/>
        </w:rPr>
        <w:t>a</w:t>
      </w:r>
      <w:r w:rsidR="00277B18" w:rsidRPr="008602DE">
        <w:rPr>
          <w:sz w:val="22"/>
          <w:szCs w:val="22"/>
          <w:lang w:val="pl-PL"/>
        </w:rPr>
        <w:t>, Instytucji Krajowej, podmiotu pośredniczącego (Kontrolerzy, Wspólny Sekretariat), Instytucji Płatniczej lub Instytucji Audyt</w:t>
      </w:r>
      <w:r w:rsidR="00323327" w:rsidRPr="008602DE">
        <w:rPr>
          <w:sz w:val="22"/>
          <w:szCs w:val="22"/>
          <w:lang w:val="pl-PL"/>
        </w:rPr>
        <w:t>owej</w:t>
      </w:r>
      <w:r w:rsidR="00277B18" w:rsidRPr="008602DE">
        <w:rPr>
          <w:sz w:val="22"/>
          <w:szCs w:val="22"/>
          <w:lang w:val="pl-PL"/>
        </w:rPr>
        <w:t xml:space="preserve">, </w:t>
      </w:r>
      <w:r w:rsidRPr="008602DE">
        <w:rPr>
          <w:sz w:val="22"/>
          <w:szCs w:val="22"/>
          <w:lang w:val="pl-PL"/>
        </w:rPr>
        <w:t>Główny B</w:t>
      </w:r>
      <w:r w:rsidR="00277B18" w:rsidRPr="008602DE">
        <w:rPr>
          <w:sz w:val="22"/>
          <w:szCs w:val="22"/>
          <w:lang w:val="pl-PL"/>
        </w:rPr>
        <w:t>eneficjent ma obowiązek udzielenia informacji o wynikach kontroli i audytów, wraz z p</w:t>
      </w:r>
      <w:r w:rsidR="00BF26D0" w:rsidRPr="008602DE">
        <w:rPr>
          <w:sz w:val="22"/>
          <w:szCs w:val="22"/>
          <w:lang w:val="pl-PL"/>
        </w:rPr>
        <w:t>rotokołami z kontroli i raportami</w:t>
      </w:r>
      <w:r w:rsidR="00277B18" w:rsidRPr="008602DE">
        <w:rPr>
          <w:sz w:val="22"/>
          <w:szCs w:val="22"/>
          <w:lang w:val="pl-PL"/>
        </w:rPr>
        <w:t xml:space="preserve"> z audytów.</w:t>
      </w:r>
    </w:p>
    <w:p w14:paraId="6D99C759" w14:textId="77777777" w:rsidR="00277B18" w:rsidRPr="008602DE" w:rsidRDefault="00277B18" w:rsidP="002B7FA0">
      <w:pPr>
        <w:pStyle w:val="Nadpis2"/>
      </w:pPr>
      <w:bookmarkStart w:id="23" w:name="_Toc434755124"/>
      <w:proofErr w:type="spellStart"/>
      <w:r w:rsidRPr="008602DE">
        <w:t>Promocja</w:t>
      </w:r>
      <w:bookmarkEnd w:id="23"/>
      <w:proofErr w:type="spellEnd"/>
    </w:p>
    <w:p w14:paraId="3F81818A" w14:textId="165A5CDA" w:rsidR="00277B18" w:rsidRPr="008602DE" w:rsidRDefault="006856EF" w:rsidP="001827C1">
      <w:pPr>
        <w:jc w:val="both"/>
        <w:rPr>
          <w:lang w:val="pl-PL"/>
        </w:rPr>
      </w:pPr>
      <w:r w:rsidRPr="008602DE">
        <w:rPr>
          <w:szCs w:val="24"/>
          <w:lang w:val="pl-PL"/>
        </w:rPr>
        <w:t xml:space="preserve">Główny </w:t>
      </w:r>
      <w:r w:rsidR="00277B18" w:rsidRPr="008602DE">
        <w:rPr>
          <w:szCs w:val="24"/>
          <w:lang w:val="pl-PL"/>
        </w:rPr>
        <w:t xml:space="preserve">Beneficjent ma obowiązek realizacji promocji projektu zgodnie z </w:t>
      </w:r>
      <w:r w:rsidR="0064043A" w:rsidRPr="008602DE">
        <w:rPr>
          <w:szCs w:val="24"/>
          <w:lang w:val="pl-PL"/>
        </w:rPr>
        <w:t xml:space="preserve">działaniami </w:t>
      </w:r>
      <w:r w:rsidR="00277B18" w:rsidRPr="008602DE">
        <w:rPr>
          <w:szCs w:val="24"/>
          <w:lang w:val="pl-PL"/>
        </w:rPr>
        <w:t xml:space="preserve">opisanymi we wniosku projektowym i zgodnie </w:t>
      </w:r>
      <w:r w:rsidR="00DA41A6" w:rsidRPr="008602DE">
        <w:rPr>
          <w:szCs w:val="24"/>
          <w:lang w:val="pl-PL"/>
        </w:rPr>
        <w:t>art. 50 rozporządzenia (UE) 2021/1060 (rozporządzenie ogólne) i załącznikiem IX rozporządzenia ogólnego zgodnie z art. 36, ust. 4 i 5 rozporządzenia (UE) 2021/1059 (rozporządzenie Interreg).</w:t>
      </w:r>
    </w:p>
    <w:p w14:paraId="66536DA9" w14:textId="01D3A5E2" w:rsidR="00277B18" w:rsidRPr="008602DE" w:rsidRDefault="006856EF" w:rsidP="001827C1">
      <w:pPr>
        <w:jc w:val="both"/>
        <w:rPr>
          <w:lang w:val="pl-PL"/>
        </w:rPr>
      </w:pPr>
      <w:r w:rsidRPr="008602DE">
        <w:rPr>
          <w:szCs w:val="24"/>
          <w:lang w:val="pl-PL"/>
        </w:rPr>
        <w:t xml:space="preserve">Główny </w:t>
      </w:r>
      <w:r w:rsidR="00277B18" w:rsidRPr="008602DE">
        <w:rPr>
          <w:szCs w:val="24"/>
          <w:lang w:val="pl-PL"/>
        </w:rPr>
        <w:t xml:space="preserve">Beneficjent, na wniosek podmiotu </w:t>
      </w:r>
      <w:r w:rsidR="00F005D9" w:rsidRPr="008602DE">
        <w:rPr>
          <w:szCs w:val="24"/>
          <w:lang w:val="pl-PL"/>
        </w:rPr>
        <w:t>udzielając</w:t>
      </w:r>
      <w:r w:rsidR="00050993" w:rsidRPr="008602DE">
        <w:rPr>
          <w:szCs w:val="24"/>
          <w:lang w:val="pl-PL"/>
        </w:rPr>
        <w:t>ego dofinansowani</w:t>
      </w:r>
      <w:r w:rsidR="00F005D9" w:rsidRPr="008602DE">
        <w:rPr>
          <w:szCs w:val="24"/>
          <w:lang w:val="pl-PL"/>
        </w:rPr>
        <w:t>a</w:t>
      </w:r>
      <w:r w:rsidR="00050993" w:rsidRPr="008602DE">
        <w:rPr>
          <w:szCs w:val="24"/>
          <w:lang w:val="pl-PL"/>
        </w:rPr>
        <w:t>,</w:t>
      </w:r>
      <w:r w:rsidRPr="008602DE">
        <w:rPr>
          <w:szCs w:val="24"/>
          <w:lang w:val="pl-PL"/>
        </w:rPr>
        <w:t xml:space="preserve"> </w:t>
      </w:r>
      <w:r w:rsidR="00050993" w:rsidRPr="008602DE">
        <w:rPr>
          <w:szCs w:val="24"/>
          <w:lang w:val="pl-PL"/>
        </w:rPr>
        <w:t>zobowiązany jest do</w:t>
      </w:r>
      <w:r w:rsidR="00277B18" w:rsidRPr="008602DE">
        <w:rPr>
          <w:szCs w:val="24"/>
          <w:lang w:val="pl-PL"/>
        </w:rPr>
        <w:t xml:space="preserve"> współpracy przy działaniach związanych z promocją programu.</w:t>
      </w:r>
    </w:p>
    <w:p w14:paraId="6989A4B1" w14:textId="15CB59FE" w:rsidR="00277B18" w:rsidRPr="008602DE" w:rsidRDefault="006856EF" w:rsidP="001827C1">
      <w:pPr>
        <w:jc w:val="both"/>
        <w:rPr>
          <w:lang w:val="pl-PL"/>
        </w:rPr>
      </w:pPr>
      <w:r w:rsidRPr="008602DE">
        <w:rPr>
          <w:szCs w:val="24"/>
          <w:lang w:val="pl-PL"/>
        </w:rPr>
        <w:t xml:space="preserve">Główny </w:t>
      </w:r>
      <w:r w:rsidR="00323327" w:rsidRPr="008602DE">
        <w:rPr>
          <w:szCs w:val="24"/>
          <w:lang w:val="pl-PL"/>
        </w:rPr>
        <w:t xml:space="preserve">Beneficjent </w:t>
      </w:r>
      <w:r w:rsidR="00323327" w:rsidRPr="008602DE">
        <w:rPr>
          <w:lang w:val="pl-PL"/>
        </w:rPr>
        <w:t xml:space="preserve">wyraża zgodę na publikowanie przez Instytucję Zarządzającą i instytucje przez nią wskazane informacji, o których mowa w art. </w:t>
      </w:r>
      <w:r w:rsidR="0082524B" w:rsidRPr="008602DE">
        <w:rPr>
          <w:lang w:val="pl-PL"/>
        </w:rPr>
        <w:t>49</w:t>
      </w:r>
      <w:r w:rsidR="00323327" w:rsidRPr="008602DE">
        <w:rPr>
          <w:lang w:val="pl-PL"/>
        </w:rPr>
        <w:t xml:space="preserve"> rozporządzenia ogólnego oraz dokumentacji audiowizualnej z realizacji projektu, w jakiejkolwiek formie i poprzez jakiekolwiek media.</w:t>
      </w:r>
    </w:p>
    <w:p w14:paraId="608013FC" w14:textId="77777777" w:rsidR="00277B18" w:rsidRPr="008602DE" w:rsidRDefault="00050993" w:rsidP="002B7FA0">
      <w:pPr>
        <w:pStyle w:val="Nadpis2"/>
      </w:pPr>
      <w:bookmarkStart w:id="24" w:name="_Toc434755125"/>
      <w:proofErr w:type="spellStart"/>
      <w:r w:rsidRPr="008602DE">
        <w:t>Udostępnianie</w:t>
      </w:r>
      <w:proofErr w:type="spellEnd"/>
      <w:r w:rsidRPr="008602DE">
        <w:t xml:space="preserve"> </w:t>
      </w:r>
      <w:proofErr w:type="spellStart"/>
      <w:r w:rsidRPr="008602DE">
        <w:t>danych</w:t>
      </w:r>
      <w:proofErr w:type="spellEnd"/>
      <w:r w:rsidRPr="008602DE">
        <w:t xml:space="preserve"> </w:t>
      </w:r>
      <w:proofErr w:type="spellStart"/>
      <w:r w:rsidRPr="008602DE">
        <w:t>dotyczących</w:t>
      </w:r>
      <w:proofErr w:type="spellEnd"/>
      <w:r w:rsidR="00277B18" w:rsidRPr="008602DE">
        <w:t xml:space="preserve"> </w:t>
      </w:r>
      <w:proofErr w:type="spellStart"/>
      <w:r w:rsidR="00277B18" w:rsidRPr="008602DE">
        <w:t>realizacji</w:t>
      </w:r>
      <w:proofErr w:type="spellEnd"/>
      <w:r w:rsidR="00277B18" w:rsidRPr="008602DE">
        <w:t xml:space="preserve"> projektu</w:t>
      </w:r>
      <w:bookmarkEnd w:id="24"/>
    </w:p>
    <w:p w14:paraId="2C8B83CA" w14:textId="4F49D54E" w:rsidR="00277B18" w:rsidRPr="008602DE" w:rsidRDefault="006856EF" w:rsidP="000B7DDC">
      <w:pPr>
        <w:pStyle w:val="Odstavecseseznamem"/>
        <w:numPr>
          <w:ilvl w:val="0"/>
          <w:numId w:val="16"/>
        </w:numPr>
        <w:ind w:left="567" w:hanging="567"/>
        <w:jc w:val="both"/>
        <w:rPr>
          <w:lang w:val="pl-PL"/>
        </w:rPr>
      </w:pPr>
      <w:r w:rsidRPr="008602DE">
        <w:rPr>
          <w:lang w:val="pl-PL"/>
        </w:rPr>
        <w:t xml:space="preserve">Główny </w:t>
      </w:r>
      <w:r w:rsidR="00277B18" w:rsidRPr="008602DE">
        <w:rPr>
          <w:lang w:val="pl-PL"/>
        </w:rPr>
        <w:t xml:space="preserve">Beneficjent, na wniosek podmiotu </w:t>
      </w:r>
      <w:r w:rsidR="00F005D9" w:rsidRPr="008602DE">
        <w:rPr>
          <w:lang w:val="pl-PL"/>
        </w:rPr>
        <w:t>udzielając</w:t>
      </w:r>
      <w:r w:rsidR="00050993" w:rsidRPr="008602DE">
        <w:rPr>
          <w:lang w:val="pl-PL"/>
        </w:rPr>
        <w:t>ego dofinansowani</w:t>
      </w:r>
      <w:r w:rsidR="00F005D9" w:rsidRPr="008602DE">
        <w:rPr>
          <w:lang w:val="pl-PL"/>
        </w:rPr>
        <w:t>a</w:t>
      </w:r>
      <w:r w:rsidR="00050993" w:rsidRPr="008602DE">
        <w:rPr>
          <w:lang w:val="pl-PL"/>
        </w:rPr>
        <w:t xml:space="preserve"> (</w:t>
      </w:r>
      <w:r w:rsidR="00AA5424" w:rsidRPr="008602DE">
        <w:rPr>
          <w:lang w:val="pl-PL"/>
        </w:rPr>
        <w:t>lub innej instytucji, np. Kontrolera, Wspólnego Sekretariatu</w:t>
      </w:r>
      <w:r w:rsidR="00277B18" w:rsidRPr="008602DE">
        <w:rPr>
          <w:lang w:val="pl-PL"/>
        </w:rPr>
        <w:t xml:space="preserve">), ma obowiązek udzielenia w formie </w:t>
      </w:r>
      <w:r w:rsidR="00050993" w:rsidRPr="008602DE">
        <w:rPr>
          <w:lang w:val="pl-PL"/>
        </w:rPr>
        <w:t xml:space="preserve">pisemnej dowolnych informacji </w:t>
      </w:r>
      <w:r w:rsidR="00C77C9F" w:rsidRPr="008602DE">
        <w:rPr>
          <w:lang w:val="pl-PL"/>
        </w:rPr>
        <w:t xml:space="preserve">uzupełniających, </w:t>
      </w:r>
      <w:r w:rsidR="00050993" w:rsidRPr="008602DE">
        <w:rPr>
          <w:lang w:val="pl-PL"/>
        </w:rPr>
        <w:t>z</w:t>
      </w:r>
      <w:r w:rsidR="00277B18" w:rsidRPr="008602DE">
        <w:rPr>
          <w:lang w:val="pl-PL"/>
        </w:rPr>
        <w:t>wiązanych z realizacją projektu lub jego trwałością, w terminie podanym w takim wniosku.</w:t>
      </w:r>
    </w:p>
    <w:p w14:paraId="7F4B9CAB" w14:textId="77777777" w:rsidR="00277B18" w:rsidRPr="008602DE" w:rsidRDefault="00277B18" w:rsidP="00792BB8">
      <w:pPr>
        <w:jc w:val="both"/>
        <w:rPr>
          <w:lang w:val="pl-PL"/>
        </w:rPr>
      </w:pPr>
    </w:p>
    <w:p w14:paraId="5B8AA7FC" w14:textId="4883EDF4" w:rsidR="00EE4E84" w:rsidRPr="008602DE" w:rsidRDefault="006856EF" w:rsidP="000B7DDC">
      <w:pPr>
        <w:pStyle w:val="Odstavecseseznamem"/>
        <w:numPr>
          <w:ilvl w:val="0"/>
          <w:numId w:val="16"/>
        </w:numPr>
        <w:tabs>
          <w:tab w:val="left" w:pos="851"/>
        </w:tabs>
        <w:ind w:left="567" w:hanging="567"/>
        <w:jc w:val="both"/>
        <w:rPr>
          <w:lang w:val="pl-PL"/>
        </w:rPr>
      </w:pPr>
      <w:r w:rsidRPr="008602DE">
        <w:rPr>
          <w:lang w:val="pl-PL"/>
        </w:rPr>
        <w:t xml:space="preserve">Główny </w:t>
      </w:r>
      <w:r w:rsidR="00277B18" w:rsidRPr="008602DE">
        <w:rPr>
          <w:lang w:val="pl-PL"/>
        </w:rPr>
        <w:t xml:space="preserve">Beneficjent ma obowiązek udzielania informacji oraz zapewnienia ewentualnej koordynacji w związku z </w:t>
      </w:r>
      <w:r w:rsidR="00C70FE8" w:rsidRPr="008602DE">
        <w:rPr>
          <w:lang w:val="pl-PL"/>
        </w:rPr>
        <w:t xml:space="preserve">ewaluacjami </w:t>
      </w:r>
      <w:r w:rsidR="00050993" w:rsidRPr="008602DE">
        <w:rPr>
          <w:lang w:val="pl-PL"/>
        </w:rPr>
        <w:t>przeprowadzanymi przez Instytucję Zarządzającą</w:t>
      </w:r>
      <w:r w:rsidR="00277B18" w:rsidRPr="008602DE">
        <w:rPr>
          <w:lang w:val="pl-PL"/>
        </w:rPr>
        <w:t xml:space="preserve">, w okresie pięciu lat od daty ostatniej płatności na rzecz </w:t>
      </w:r>
      <w:r w:rsidRPr="008602DE">
        <w:rPr>
          <w:lang w:val="pl-PL"/>
        </w:rPr>
        <w:t>Głównego B</w:t>
      </w:r>
      <w:r w:rsidR="00277B18" w:rsidRPr="008602DE">
        <w:rPr>
          <w:lang w:val="pl-PL"/>
        </w:rPr>
        <w:t>eneficjenta.</w:t>
      </w:r>
    </w:p>
    <w:p w14:paraId="20AD0D1A" w14:textId="77777777" w:rsidR="00277B18" w:rsidRPr="008602DE" w:rsidRDefault="00277B18" w:rsidP="002B7FA0">
      <w:pPr>
        <w:pStyle w:val="Nadpis2"/>
      </w:pPr>
      <w:proofErr w:type="spellStart"/>
      <w:r w:rsidRPr="008602DE">
        <w:t>Zapewnienie</w:t>
      </w:r>
      <w:proofErr w:type="spellEnd"/>
      <w:r w:rsidRPr="008602DE">
        <w:t xml:space="preserve"> </w:t>
      </w:r>
      <w:proofErr w:type="spellStart"/>
      <w:r w:rsidRPr="008602DE">
        <w:t>koordynacji</w:t>
      </w:r>
      <w:proofErr w:type="spellEnd"/>
    </w:p>
    <w:p w14:paraId="08644CB0" w14:textId="220561A0" w:rsidR="00277B18" w:rsidRPr="008602DE" w:rsidRDefault="00277B18" w:rsidP="001827C1">
      <w:pPr>
        <w:jc w:val="both"/>
        <w:rPr>
          <w:lang w:val="pl-PL"/>
        </w:rPr>
      </w:pPr>
      <w:r w:rsidRPr="008602DE">
        <w:rPr>
          <w:szCs w:val="24"/>
          <w:lang w:val="pl-PL"/>
        </w:rPr>
        <w:t>Jeżeli któryś</w:t>
      </w:r>
      <w:r w:rsidR="006856EF" w:rsidRPr="008602DE">
        <w:rPr>
          <w:szCs w:val="24"/>
          <w:lang w:val="pl-PL"/>
        </w:rPr>
        <w:t xml:space="preserve"> </w:t>
      </w:r>
      <w:r w:rsidRPr="008602DE">
        <w:rPr>
          <w:szCs w:val="24"/>
          <w:lang w:val="pl-PL"/>
        </w:rPr>
        <w:t>z partnerów określonych</w:t>
      </w:r>
      <w:r w:rsidR="00BA2CB2" w:rsidRPr="008602DE">
        <w:rPr>
          <w:szCs w:val="24"/>
          <w:lang w:val="pl-PL"/>
        </w:rPr>
        <w:t xml:space="preserve"> we </w:t>
      </w:r>
      <w:r w:rsidR="007C41D8" w:rsidRPr="008602DE">
        <w:rPr>
          <w:szCs w:val="24"/>
          <w:lang w:val="pl-PL"/>
        </w:rPr>
        <w:t>w</w:t>
      </w:r>
      <w:r w:rsidR="00BA2CB2" w:rsidRPr="008602DE">
        <w:rPr>
          <w:szCs w:val="24"/>
          <w:lang w:val="pl-PL"/>
        </w:rPr>
        <w:t>niosku o przyznanie dofinansowania nie spełni obowiązku zwrócenia</w:t>
      </w:r>
      <w:r w:rsidRPr="008602DE">
        <w:rPr>
          <w:szCs w:val="24"/>
          <w:lang w:val="pl-PL"/>
        </w:rPr>
        <w:t xml:space="preserve"> za pośrednictwem </w:t>
      </w:r>
      <w:r w:rsidR="006856EF" w:rsidRPr="008602DE">
        <w:rPr>
          <w:szCs w:val="24"/>
          <w:lang w:val="pl-PL"/>
        </w:rPr>
        <w:t>Głównego B</w:t>
      </w:r>
      <w:r w:rsidRPr="008602DE">
        <w:rPr>
          <w:szCs w:val="24"/>
          <w:lang w:val="pl-PL"/>
        </w:rPr>
        <w:t>eneficjenta bezprawnie p</w:t>
      </w:r>
      <w:r w:rsidR="00BA2CB2" w:rsidRPr="008602DE">
        <w:rPr>
          <w:szCs w:val="24"/>
          <w:lang w:val="pl-PL"/>
        </w:rPr>
        <w:t xml:space="preserve">obieranych środków finansowych </w:t>
      </w:r>
      <w:r w:rsidRPr="008602DE">
        <w:rPr>
          <w:szCs w:val="24"/>
          <w:lang w:val="pl-PL"/>
        </w:rPr>
        <w:t xml:space="preserve">na </w:t>
      </w:r>
      <w:r w:rsidR="00D522C3" w:rsidRPr="008602DE">
        <w:rPr>
          <w:szCs w:val="24"/>
          <w:lang w:val="pl-PL"/>
        </w:rPr>
        <w:t xml:space="preserve"> rachunek wskazany przez udzielającego dofinansowania</w:t>
      </w:r>
      <w:r w:rsidRPr="008602DE">
        <w:rPr>
          <w:szCs w:val="24"/>
          <w:lang w:val="pl-PL"/>
        </w:rPr>
        <w:t xml:space="preserve">, </w:t>
      </w:r>
      <w:r w:rsidR="006856EF" w:rsidRPr="008602DE">
        <w:rPr>
          <w:szCs w:val="24"/>
          <w:lang w:val="pl-PL"/>
        </w:rPr>
        <w:t>Główny B</w:t>
      </w:r>
      <w:r w:rsidRPr="008602DE">
        <w:rPr>
          <w:szCs w:val="24"/>
          <w:lang w:val="pl-PL"/>
        </w:rPr>
        <w:t>eneficjent na wniosek podmiotu reprezentującego państwo członkowskie</w:t>
      </w:r>
      <w:r w:rsidRPr="008602DE">
        <w:rPr>
          <w:rStyle w:val="Znakapoznpodarou"/>
          <w:lang w:val="pl-PL"/>
        </w:rPr>
        <w:footnoteReference w:id="20"/>
      </w:r>
      <w:r w:rsidRPr="008602DE">
        <w:rPr>
          <w:szCs w:val="24"/>
          <w:lang w:val="pl-PL"/>
        </w:rPr>
        <w:t xml:space="preserve">, które ponosi szkodę z tego tytułu, </w:t>
      </w:r>
      <w:r w:rsidR="00BA2CB2" w:rsidRPr="008602DE">
        <w:rPr>
          <w:szCs w:val="24"/>
          <w:lang w:val="pl-PL"/>
        </w:rPr>
        <w:t>zobowiązany jest do</w:t>
      </w:r>
      <w:r w:rsidRPr="008602DE">
        <w:rPr>
          <w:szCs w:val="24"/>
          <w:lang w:val="pl-PL"/>
        </w:rPr>
        <w:t xml:space="preserve"> zapewnienia koordynacji i pomocy przy dochodzeniu roszczeń z tytułu rekompe</w:t>
      </w:r>
      <w:r w:rsidR="00BA2CB2" w:rsidRPr="008602DE">
        <w:rPr>
          <w:szCs w:val="24"/>
          <w:lang w:val="pl-PL"/>
        </w:rPr>
        <w:t>n</w:t>
      </w:r>
      <w:r w:rsidRPr="008602DE">
        <w:rPr>
          <w:szCs w:val="24"/>
          <w:lang w:val="pl-PL"/>
        </w:rPr>
        <w:t>saty szkód spowodowanych przez partnera.</w:t>
      </w:r>
    </w:p>
    <w:p w14:paraId="0ADEBCD4" w14:textId="77777777" w:rsidR="00277B18" w:rsidRPr="008602DE" w:rsidRDefault="00277B18" w:rsidP="002B7FA0">
      <w:pPr>
        <w:pStyle w:val="Nadpis2"/>
      </w:pPr>
      <w:bookmarkStart w:id="25" w:name="_Toc434755126"/>
      <w:proofErr w:type="spellStart"/>
      <w:r w:rsidRPr="008602DE">
        <w:t>Zgłaszanie</w:t>
      </w:r>
      <w:proofErr w:type="spellEnd"/>
      <w:r w:rsidRPr="008602DE">
        <w:t xml:space="preserve"> </w:t>
      </w:r>
      <w:proofErr w:type="spellStart"/>
      <w:r w:rsidRPr="008602DE">
        <w:t>zmian</w:t>
      </w:r>
      <w:bookmarkEnd w:id="25"/>
      <w:proofErr w:type="spellEnd"/>
    </w:p>
    <w:p w14:paraId="1DFED008" w14:textId="09E3D987" w:rsidR="00277B18" w:rsidRPr="008602DE" w:rsidRDefault="006856EF" w:rsidP="001827C1">
      <w:pPr>
        <w:jc w:val="both"/>
        <w:rPr>
          <w:lang w:val="pl-PL"/>
        </w:rPr>
      </w:pPr>
      <w:r w:rsidRPr="008602DE">
        <w:rPr>
          <w:szCs w:val="24"/>
          <w:lang w:val="pl-PL"/>
        </w:rPr>
        <w:t xml:space="preserve">Główny </w:t>
      </w:r>
      <w:r w:rsidR="00277B18" w:rsidRPr="008602DE">
        <w:rPr>
          <w:szCs w:val="24"/>
          <w:lang w:val="pl-PL"/>
        </w:rPr>
        <w:t xml:space="preserve">Beneficjent </w:t>
      </w:r>
      <w:r w:rsidR="00BA2CB2" w:rsidRPr="008602DE">
        <w:rPr>
          <w:szCs w:val="24"/>
          <w:lang w:val="pl-PL"/>
        </w:rPr>
        <w:t>zobowiązany jest do bezzwłocznego zgłoszenia</w:t>
      </w:r>
      <w:r w:rsidR="00277B18" w:rsidRPr="008602DE">
        <w:rPr>
          <w:szCs w:val="24"/>
          <w:lang w:val="pl-PL"/>
        </w:rPr>
        <w:t xml:space="preserve"> podmiotowi </w:t>
      </w:r>
      <w:r w:rsidR="00F005D9" w:rsidRPr="008602DE">
        <w:rPr>
          <w:szCs w:val="24"/>
          <w:lang w:val="pl-PL"/>
        </w:rPr>
        <w:t>udzielając</w:t>
      </w:r>
      <w:r w:rsidR="00BA2CB2" w:rsidRPr="008602DE">
        <w:rPr>
          <w:szCs w:val="24"/>
          <w:lang w:val="pl-PL"/>
        </w:rPr>
        <w:t>emu dofinansowani</w:t>
      </w:r>
      <w:r w:rsidR="00F005D9" w:rsidRPr="008602DE">
        <w:rPr>
          <w:szCs w:val="24"/>
          <w:lang w:val="pl-PL"/>
        </w:rPr>
        <w:t>a</w:t>
      </w:r>
      <w:r w:rsidR="00BA2CB2" w:rsidRPr="008602DE">
        <w:rPr>
          <w:szCs w:val="24"/>
          <w:lang w:val="pl-PL"/>
        </w:rPr>
        <w:t xml:space="preserve"> jakichkolwiek okoliczności</w:t>
      </w:r>
      <w:r w:rsidR="007C41D8" w:rsidRPr="008602DE">
        <w:rPr>
          <w:szCs w:val="24"/>
          <w:lang w:val="pl-PL"/>
        </w:rPr>
        <w:t>,</w:t>
      </w:r>
      <w:r w:rsidR="00277B18" w:rsidRPr="008602DE">
        <w:rPr>
          <w:szCs w:val="24"/>
          <w:lang w:val="pl-PL"/>
        </w:rPr>
        <w:t xml:space="preserve"> które mogą mieć wpływ na charakter lub warunki wdrażania projektu i realizacji obowiązków wynikających z niniejszej Decyzji</w:t>
      </w:r>
      <w:r w:rsidR="007E65CC" w:rsidRPr="008602DE">
        <w:rPr>
          <w:snapToGrid w:val="0"/>
          <w:lang w:val="pl-PL"/>
        </w:rPr>
        <w:t>.</w:t>
      </w:r>
    </w:p>
    <w:p w14:paraId="537F9387" w14:textId="2E4D587B" w:rsidR="00277B18" w:rsidRPr="008602DE" w:rsidRDefault="00277B18" w:rsidP="002B7FA0">
      <w:pPr>
        <w:pStyle w:val="Nadpis2"/>
      </w:pPr>
      <w:proofErr w:type="spellStart"/>
      <w:r w:rsidRPr="008602DE">
        <w:t>W</w:t>
      </w:r>
      <w:r w:rsidR="00C77C9F" w:rsidRPr="008602DE">
        <w:t>prowadzanie</w:t>
      </w:r>
      <w:proofErr w:type="spellEnd"/>
      <w:r w:rsidRPr="008602DE">
        <w:t xml:space="preserve"> </w:t>
      </w:r>
      <w:proofErr w:type="spellStart"/>
      <w:r w:rsidRPr="008602DE">
        <w:t>zmian</w:t>
      </w:r>
      <w:proofErr w:type="spellEnd"/>
      <w:r w:rsidRPr="008602DE">
        <w:t xml:space="preserve"> </w:t>
      </w:r>
      <w:r w:rsidR="00620188" w:rsidRPr="008602DE">
        <w:t xml:space="preserve">w </w:t>
      </w:r>
      <w:proofErr w:type="spellStart"/>
      <w:r w:rsidR="007C41D8" w:rsidRPr="008602DE">
        <w:t>Umowie</w:t>
      </w:r>
      <w:proofErr w:type="spellEnd"/>
      <w:r w:rsidRPr="008602DE">
        <w:t xml:space="preserve"> </w:t>
      </w:r>
      <w:proofErr w:type="spellStart"/>
      <w:r w:rsidRPr="008602DE">
        <w:t>współpracy</w:t>
      </w:r>
      <w:proofErr w:type="spellEnd"/>
    </w:p>
    <w:p w14:paraId="4D6BC149" w14:textId="52C3BA6B" w:rsidR="00277B18" w:rsidRPr="008602DE" w:rsidRDefault="006856EF" w:rsidP="001827C1">
      <w:pPr>
        <w:jc w:val="both"/>
        <w:rPr>
          <w:sz w:val="24"/>
          <w:szCs w:val="24"/>
          <w:lang w:val="pl-PL"/>
        </w:rPr>
      </w:pPr>
      <w:r w:rsidRPr="008602DE">
        <w:rPr>
          <w:szCs w:val="24"/>
          <w:lang w:val="pl-PL"/>
        </w:rPr>
        <w:t xml:space="preserve">Główny </w:t>
      </w:r>
      <w:r w:rsidR="00277B18" w:rsidRPr="008602DE">
        <w:rPr>
          <w:szCs w:val="24"/>
          <w:lang w:val="pl-PL"/>
        </w:rPr>
        <w:t xml:space="preserve">Beneficjent ma obowiązek zgłaszania podmiotowi </w:t>
      </w:r>
      <w:r w:rsidR="00F005D9" w:rsidRPr="008602DE">
        <w:rPr>
          <w:szCs w:val="24"/>
          <w:lang w:val="pl-PL"/>
        </w:rPr>
        <w:t>udzielając</w:t>
      </w:r>
      <w:r w:rsidR="00277B18" w:rsidRPr="008602DE">
        <w:rPr>
          <w:szCs w:val="24"/>
          <w:lang w:val="pl-PL"/>
        </w:rPr>
        <w:t>emu dofinansowani</w:t>
      </w:r>
      <w:r w:rsidR="00F005D9" w:rsidRPr="008602DE">
        <w:rPr>
          <w:szCs w:val="24"/>
          <w:lang w:val="pl-PL"/>
        </w:rPr>
        <w:t>a</w:t>
      </w:r>
      <w:r w:rsidR="00C77C9F" w:rsidRPr="008602DE">
        <w:rPr>
          <w:szCs w:val="24"/>
          <w:lang w:val="pl-PL"/>
        </w:rPr>
        <w:t xml:space="preserve">, za pośrednictwem wyznaczonych do tego podmiotów (zgodnie z Podręcznikiem </w:t>
      </w:r>
      <w:r w:rsidR="007E65CC" w:rsidRPr="008602DE">
        <w:rPr>
          <w:szCs w:val="24"/>
          <w:lang w:val="pl-PL"/>
        </w:rPr>
        <w:t>B</w:t>
      </w:r>
      <w:r w:rsidR="00C77C9F" w:rsidRPr="008602DE">
        <w:rPr>
          <w:szCs w:val="24"/>
          <w:lang w:val="pl-PL"/>
        </w:rPr>
        <w:t>eneficjenta),</w:t>
      </w:r>
      <w:r w:rsidR="00277B18" w:rsidRPr="008602DE">
        <w:rPr>
          <w:szCs w:val="24"/>
          <w:lang w:val="pl-PL"/>
        </w:rPr>
        <w:t xml:space="preserve"> wszelkich zmian w </w:t>
      </w:r>
      <w:r w:rsidR="007C41D8" w:rsidRPr="008602DE">
        <w:rPr>
          <w:szCs w:val="24"/>
          <w:lang w:val="pl-PL"/>
        </w:rPr>
        <w:t>Umowie</w:t>
      </w:r>
      <w:r w:rsidR="00620188" w:rsidRPr="008602DE">
        <w:rPr>
          <w:szCs w:val="24"/>
          <w:lang w:val="pl-PL"/>
        </w:rPr>
        <w:t xml:space="preserve"> </w:t>
      </w:r>
      <w:r w:rsidR="00277B18" w:rsidRPr="008602DE">
        <w:rPr>
          <w:szCs w:val="24"/>
          <w:lang w:val="pl-PL"/>
        </w:rPr>
        <w:t xml:space="preserve">współpracy, </w:t>
      </w:r>
      <w:r w:rsidR="007C41D8" w:rsidRPr="008602DE">
        <w:rPr>
          <w:szCs w:val="24"/>
          <w:lang w:val="pl-PL"/>
        </w:rPr>
        <w:t xml:space="preserve">o której mowa </w:t>
      </w:r>
      <w:r w:rsidR="00277B18" w:rsidRPr="008602DE">
        <w:rPr>
          <w:szCs w:val="24"/>
          <w:lang w:val="pl-PL"/>
        </w:rPr>
        <w:t xml:space="preserve">w części I punkcie 3 niniejszej Decyzji, zanim zmiany te </w:t>
      </w:r>
      <w:r w:rsidR="00C77C9F" w:rsidRPr="008602DE">
        <w:rPr>
          <w:szCs w:val="24"/>
          <w:lang w:val="pl-PL"/>
        </w:rPr>
        <w:t>zostaną wprowadzone</w:t>
      </w:r>
      <w:r w:rsidR="00277B18" w:rsidRPr="008602DE">
        <w:rPr>
          <w:szCs w:val="24"/>
          <w:lang w:val="pl-PL"/>
        </w:rPr>
        <w:t>, zmiany te zaś mogą zostać wprowadzone wyłącznie w oparci</w:t>
      </w:r>
      <w:r w:rsidR="00137E36" w:rsidRPr="008602DE">
        <w:rPr>
          <w:szCs w:val="24"/>
          <w:lang w:val="pl-PL"/>
        </w:rPr>
        <w:t xml:space="preserve">u o zgodę podmiotu </w:t>
      </w:r>
      <w:r w:rsidR="00F005D9" w:rsidRPr="008602DE">
        <w:rPr>
          <w:szCs w:val="24"/>
          <w:lang w:val="pl-PL"/>
        </w:rPr>
        <w:t>udzielając</w:t>
      </w:r>
      <w:r w:rsidR="00137E36" w:rsidRPr="008602DE">
        <w:rPr>
          <w:szCs w:val="24"/>
          <w:lang w:val="pl-PL"/>
        </w:rPr>
        <w:t>ego</w:t>
      </w:r>
      <w:r w:rsidR="00277B18" w:rsidRPr="008602DE">
        <w:rPr>
          <w:szCs w:val="24"/>
          <w:lang w:val="pl-PL"/>
        </w:rPr>
        <w:t xml:space="preserve"> dofinansowanie.    </w:t>
      </w:r>
    </w:p>
    <w:p w14:paraId="39E2FA64" w14:textId="77777777" w:rsidR="00277B18" w:rsidRPr="008602DE" w:rsidRDefault="00277B18" w:rsidP="002B7FA0">
      <w:pPr>
        <w:pStyle w:val="Nadpis2"/>
      </w:pPr>
      <w:bookmarkStart w:id="26" w:name="_Toc434755128"/>
      <w:proofErr w:type="spellStart"/>
      <w:r w:rsidRPr="008602DE">
        <w:t>Przechowywanie</w:t>
      </w:r>
      <w:proofErr w:type="spellEnd"/>
      <w:r w:rsidRPr="008602DE">
        <w:t xml:space="preserve"> </w:t>
      </w:r>
      <w:proofErr w:type="spellStart"/>
      <w:r w:rsidRPr="008602DE">
        <w:t>dokumentów</w:t>
      </w:r>
      <w:proofErr w:type="spellEnd"/>
      <w:r w:rsidRPr="008602DE">
        <w:t xml:space="preserve"> </w:t>
      </w:r>
      <w:bookmarkEnd w:id="26"/>
    </w:p>
    <w:p w14:paraId="214C3057" w14:textId="0EE6A66F" w:rsidR="00277B18" w:rsidRPr="008602DE" w:rsidRDefault="006856EF" w:rsidP="001827C1">
      <w:pPr>
        <w:jc w:val="both"/>
        <w:rPr>
          <w:sz w:val="24"/>
          <w:szCs w:val="24"/>
          <w:lang w:val="pl-PL"/>
        </w:rPr>
      </w:pPr>
      <w:r w:rsidRPr="008602DE">
        <w:rPr>
          <w:szCs w:val="24"/>
          <w:lang w:val="pl-PL"/>
        </w:rPr>
        <w:t xml:space="preserve">Główny </w:t>
      </w:r>
      <w:r w:rsidR="00277B18" w:rsidRPr="008602DE">
        <w:rPr>
          <w:szCs w:val="24"/>
          <w:lang w:val="pl-PL"/>
        </w:rPr>
        <w:t>Beneficjent ma obowiązek przechowywania wszelkich dokumentów związanych z realizacją projektu, niezbędnych do wykazania</w:t>
      </w:r>
      <w:r w:rsidR="00137E36" w:rsidRPr="008602DE">
        <w:rPr>
          <w:szCs w:val="24"/>
          <w:lang w:val="pl-PL"/>
        </w:rPr>
        <w:t xml:space="preserve"> wykorzystania</w:t>
      </w:r>
      <w:r w:rsidR="00277B18" w:rsidRPr="008602DE">
        <w:rPr>
          <w:szCs w:val="24"/>
          <w:lang w:val="pl-PL"/>
        </w:rPr>
        <w:t xml:space="preserve"> środków, </w:t>
      </w:r>
      <w:r w:rsidR="00137E36" w:rsidRPr="008602DE">
        <w:rPr>
          <w:szCs w:val="24"/>
          <w:lang w:val="pl-PL"/>
        </w:rPr>
        <w:t xml:space="preserve">od momentu ich powstania </w:t>
      </w:r>
      <w:r w:rsidR="00C70FE8" w:rsidRPr="008602DE">
        <w:rPr>
          <w:szCs w:val="24"/>
          <w:lang w:val="pl-PL"/>
        </w:rPr>
        <w:t>przynajmniej przez okres 5 lat od 31 grudnia roku, w którym została zrealizowana ostatnia płatność</w:t>
      </w:r>
      <w:r w:rsidR="00757DC9">
        <w:rPr>
          <w:szCs w:val="24"/>
          <w:lang w:val="pl-PL"/>
        </w:rPr>
        <w:t xml:space="preserve"> beneficjentowi</w:t>
      </w:r>
      <w:r w:rsidR="00277B18" w:rsidRPr="008602DE">
        <w:rPr>
          <w:szCs w:val="24"/>
          <w:lang w:val="pl-PL"/>
        </w:rPr>
        <w:t xml:space="preserve">. Jeżeli ustawodawstwo krajowe </w:t>
      </w:r>
      <w:r w:rsidR="00757DC9">
        <w:rPr>
          <w:szCs w:val="24"/>
          <w:lang w:val="pl-PL"/>
        </w:rPr>
        <w:t xml:space="preserve">lub </w:t>
      </w:r>
      <w:r w:rsidR="00757DC9" w:rsidRPr="008602DE">
        <w:rPr>
          <w:szCs w:val="24"/>
          <w:lang w:val="pl-PL"/>
        </w:rPr>
        <w:t xml:space="preserve">ustawodawstwo </w:t>
      </w:r>
      <w:r w:rsidR="00757DC9">
        <w:rPr>
          <w:szCs w:val="24"/>
          <w:lang w:val="pl-PL"/>
        </w:rPr>
        <w:t xml:space="preserve">UE </w:t>
      </w:r>
      <w:r w:rsidR="00277B18" w:rsidRPr="008602DE">
        <w:rPr>
          <w:szCs w:val="24"/>
          <w:lang w:val="pl-PL"/>
        </w:rPr>
        <w:t xml:space="preserve">dla niektórych dokumentów ustanawia dłuższy okres przechowywania, konieczne jest przestrzeganie tych </w:t>
      </w:r>
      <w:r w:rsidR="007C41D8" w:rsidRPr="008602DE">
        <w:rPr>
          <w:szCs w:val="24"/>
          <w:lang w:val="pl-PL"/>
        </w:rPr>
        <w:t>przepisów</w:t>
      </w:r>
      <w:r w:rsidR="00277B18" w:rsidRPr="008602DE">
        <w:rPr>
          <w:szCs w:val="24"/>
          <w:lang w:val="pl-PL"/>
        </w:rPr>
        <w:t>.</w:t>
      </w:r>
      <w:r w:rsidR="007C41D8" w:rsidRPr="008602DE">
        <w:rPr>
          <w:szCs w:val="24"/>
          <w:lang w:val="pl-PL"/>
        </w:rPr>
        <w:t xml:space="preserve"> </w:t>
      </w:r>
      <w:r w:rsidR="0035383D" w:rsidRPr="008602DE">
        <w:rPr>
          <w:szCs w:val="24"/>
          <w:lang w:val="pl-PL"/>
        </w:rPr>
        <w:t xml:space="preserve">Termin przechowywania dokumentów </w:t>
      </w:r>
      <w:r w:rsidR="002B5ED2" w:rsidRPr="008602DE">
        <w:rPr>
          <w:szCs w:val="24"/>
          <w:lang w:val="pl-PL"/>
        </w:rPr>
        <w:t xml:space="preserve">może zostać </w:t>
      </w:r>
      <w:r w:rsidR="0035383D" w:rsidRPr="008602DE">
        <w:rPr>
          <w:szCs w:val="24"/>
          <w:lang w:val="pl-PL"/>
        </w:rPr>
        <w:t>zawieszony na czas postępowania administracyjnego lub sądowego lub na wniosek Komisji.</w:t>
      </w:r>
    </w:p>
    <w:p w14:paraId="05F57698" w14:textId="2FBE945B" w:rsidR="00277B18" w:rsidRPr="008602DE" w:rsidRDefault="00277B18" w:rsidP="002B7FA0">
      <w:pPr>
        <w:pStyle w:val="Nadpis2"/>
      </w:pPr>
      <w:bookmarkStart w:id="27" w:name="_Toc434755130"/>
      <w:proofErr w:type="spellStart"/>
      <w:r w:rsidRPr="008602DE">
        <w:t>Dbałość</w:t>
      </w:r>
      <w:proofErr w:type="spellEnd"/>
      <w:r w:rsidRPr="008602DE">
        <w:t xml:space="preserve"> o </w:t>
      </w:r>
      <w:bookmarkEnd w:id="27"/>
      <w:proofErr w:type="spellStart"/>
      <w:r w:rsidR="0035383D" w:rsidRPr="008602DE">
        <w:t>składniki</w:t>
      </w:r>
      <w:proofErr w:type="spellEnd"/>
      <w:r w:rsidR="0035383D" w:rsidRPr="008602DE">
        <w:t xml:space="preserve"> </w:t>
      </w:r>
      <w:proofErr w:type="spellStart"/>
      <w:r w:rsidR="0035383D" w:rsidRPr="008602DE">
        <w:t>majątku</w:t>
      </w:r>
      <w:proofErr w:type="spellEnd"/>
    </w:p>
    <w:p w14:paraId="29214BCE" w14:textId="11CF5E32" w:rsidR="00277B18" w:rsidRPr="008602DE" w:rsidRDefault="006856EF" w:rsidP="001827C1">
      <w:pPr>
        <w:jc w:val="both"/>
        <w:rPr>
          <w:snapToGrid w:val="0"/>
          <w:lang w:val="pl-PL"/>
        </w:rPr>
      </w:pPr>
      <w:r w:rsidRPr="008602DE">
        <w:rPr>
          <w:szCs w:val="24"/>
          <w:lang w:val="pl-PL"/>
        </w:rPr>
        <w:t xml:space="preserve">Główny </w:t>
      </w:r>
      <w:r w:rsidR="00277B18" w:rsidRPr="008602DE">
        <w:rPr>
          <w:szCs w:val="24"/>
          <w:lang w:val="pl-PL"/>
        </w:rPr>
        <w:t xml:space="preserve">Beneficjent ma obowiązek </w:t>
      </w:r>
      <w:r w:rsidR="0035383D" w:rsidRPr="008602DE">
        <w:rPr>
          <w:szCs w:val="24"/>
          <w:lang w:val="pl-PL"/>
        </w:rPr>
        <w:t>dbania o składniki majątku</w:t>
      </w:r>
      <w:r w:rsidR="00277B18" w:rsidRPr="008602DE">
        <w:rPr>
          <w:szCs w:val="24"/>
          <w:lang w:val="pl-PL"/>
        </w:rPr>
        <w:t xml:space="preserve"> współfinansowan</w:t>
      </w:r>
      <w:r w:rsidR="0035383D" w:rsidRPr="008602DE">
        <w:rPr>
          <w:szCs w:val="24"/>
          <w:lang w:val="pl-PL"/>
        </w:rPr>
        <w:t>e</w:t>
      </w:r>
      <w:r w:rsidR="00277B18" w:rsidRPr="008602DE">
        <w:rPr>
          <w:szCs w:val="24"/>
          <w:lang w:val="pl-PL"/>
        </w:rPr>
        <w:t xml:space="preserve"> z </w:t>
      </w:r>
      <w:r w:rsidR="00620188" w:rsidRPr="008602DE">
        <w:rPr>
          <w:szCs w:val="24"/>
          <w:lang w:val="pl-PL"/>
        </w:rPr>
        <w:t xml:space="preserve">dofinansowania </w:t>
      </w:r>
      <w:r w:rsidR="00277B18" w:rsidRPr="008602DE">
        <w:rPr>
          <w:szCs w:val="24"/>
          <w:lang w:val="pl-PL"/>
        </w:rPr>
        <w:t>z dbałością sumiennego gospodarza,</w:t>
      </w:r>
      <w:r w:rsidR="00137E36" w:rsidRPr="008602DE">
        <w:rPr>
          <w:szCs w:val="24"/>
          <w:lang w:val="pl-PL"/>
        </w:rPr>
        <w:t xml:space="preserve"> w szczególności zaś zabezpieczenia ich</w:t>
      </w:r>
      <w:r w:rsidR="00277B18" w:rsidRPr="008602DE">
        <w:rPr>
          <w:szCs w:val="24"/>
          <w:lang w:val="pl-PL"/>
        </w:rPr>
        <w:t xml:space="preserve"> przed uszkodzeniem, utratą lub kradzieżą. W okresie realizacji projektu oraz jego trwałości (jeżeli warunek trwałości odnosi się do projektu)</w:t>
      </w:r>
      <w:r w:rsidR="00137E36" w:rsidRPr="008602DE">
        <w:rPr>
          <w:szCs w:val="24"/>
          <w:lang w:val="pl-PL"/>
        </w:rPr>
        <w:t>,</w:t>
      </w:r>
      <w:r w:rsidR="00277B18" w:rsidRPr="008602DE">
        <w:rPr>
          <w:szCs w:val="24"/>
          <w:lang w:val="pl-PL"/>
        </w:rPr>
        <w:t xml:space="preserve"> bez uzyskania uprzedniej pisemnej zgody podmiotu </w:t>
      </w:r>
      <w:r w:rsidR="00F005D9" w:rsidRPr="008602DE">
        <w:rPr>
          <w:szCs w:val="24"/>
          <w:lang w:val="pl-PL"/>
        </w:rPr>
        <w:t>udzielając</w:t>
      </w:r>
      <w:r w:rsidR="00137E36" w:rsidRPr="008602DE">
        <w:rPr>
          <w:szCs w:val="24"/>
          <w:lang w:val="pl-PL"/>
        </w:rPr>
        <w:t xml:space="preserve">ego </w:t>
      </w:r>
      <w:r w:rsidR="00F005D9" w:rsidRPr="008602DE">
        <w:rPr>
          <w:szCs w:val="24"/>
          <w:lang w:val="pl-PL"/>
        </w:rPr>
        <w:t>dofinansowania</w:t>
      </w:r>
      <w:r w:rsidR="00137E36" w:rsidRPr="008602DE">
        <w:rPr>
          <w:szCs w:val="24"/>
          <w:lang w:val="pl-PL"/>
        </w:rPr>
        <w:t xml:space="preserve">, </w:t>
      </w:r>
      <w:r w:rsidRPr="008602DE">
        <w:rPr>
          <w:szCs w:val="24"/>
          <w:lang w:val="pl-PL"/>
        </w:rPr>
        <w:t>Głównemu B</w:t>
      </w:r>
      <w:r w:rsidR="00137E36" w:rsidRPr="008602DE">
        <w:rPr>
          <w:szCs w:val="24"/>
          <w:lang w:val="pl-PL"/>
        </w:rPr>
        <w:t>eneficjentowi nie wolno</w:t>
      </w:r>
      <w:r w:rsidRPr="008602DE">
        <w:rPr>
          <w:szCs w:val="24"/>
          <w:lang w:val="pl-PL"/>
        </w:rPr>
        <w:t xml:space="preserve"> </w:t>
      </w:r>
      <w:r w:rsidR="00137E36" w:rsidRPr="008602DE">
        <w:rPr>
          <w:szCs w:val="24"/>
          <w:lang w:val="pl-PL"/>
        </w:rPr>
        <w:t>przepisać,</w:t>
      </w:r>
      <w:r w:rsidR="00277B18" w:rsidRPr="008602DE">
        <w:rPr>
          <w:szCs w:val="24"/>
          <w:lang w:val="pl-PL"/>
        </w:rPr>
        <w:t xml:space="preserve"> sprzedać, wypożyczyć lub wynająć innemu podmiotowi </w:t>
      </w:r>
      <w:r w:rsidR="0035383D" w:rsidRPr="008602DE">
        <w:rPr>
          <w:szCs w:val="24"/>
          <w:lang w:val="pl-PL"/>
        </w:rPr>
        <w:t xml:space="preserve">składników majątku </w:t>
      </w:r>
      <w:r w:rsidR="00277B18" w:rsidRPr="008602DE">
        <w:rPr>
          <w:szCs w:val="24"/>
          <w:lang w:val="pl-PL"/>
        </w:rPr>
        <w:t>współfinansowanych, również częściowo, ze środków do</w:t>
      </w:r>
      <w:r w:rsidR="0000363A" w:rsidRPr="008602DE">
        <w:rPr>
          <w:szCs w:val="24"/>
          <w:lang w:val="pl-PL"/>
        </w:rPr>
        <w:t>finansowania</w:t>
      </w:r>
      <w:r w:rsidR="00277B18" w:rsidRPr="008602DE">
        <w:rPr>
          <w:szCs w:val="24"/>
          <w:lang w:val="pl-PL"/>
        </w:rPr>
        <w:t>. Ponadto, nie wolno</w:t>
      </w:r>
      <w:r w:rsidRPr="008602DE">
        <w:rPr>
          <w:szCs w:val="24"/>
          <w:lang w:val="pl-PL"/>
        </w:rPr>
        <w:t xml:space="preserve"> </w:t>
      </w:r>
      <w:r w:rsidR="00137E36" w:rsidRPr="008602DE">
        <w:rPr>
          <w:szCs w:val="24"/>
          <w:lang w:val="pl-PL"/>
        </w:rPr>
        <w:t xml:space="preserve">bez uzyskania pisemnej zgody podmiotu </w:t>
      </w:r>
      <w:r w:rsidR="00F005D9" w:rsidRPr="008602DE">
        <w:rPr>
          <w:szCs w:val="24"/>
          <w:lang w:val="pl-PL"/>
        </w:rPr>
        <w:t>udzielając</w:t>
      </w:r>
      <w:r w:rsidR="00137E36" w:rsidRPr="008602DE">
        <w:rPr>
          <w:szCs w:val="24"/>
          <w:lang w:val="pl-PL"/>
        </w:rPr>
        <w:t>ego dofinansowani</w:t>
      </w:r>
      <w:r w:rsidR="00F005D9" w:rsidRPr="008602DE">
        <w:rPr>
          <w:szCs w:val="24"/>
          <w:lang w:val="pl-PL"/>
        </w:rPr>
        <w:t>a</w:t>
      </w:r>
      <w:r w:rsidR="00277B18" w:rsidRPr="008602DE">
        <w:rPr>
          <w:szCs w:val="24"/>
          <w:lang w:val="pl-PL"/>
        </w:rPr>
        <w:t xml:space="preserve"> zastawić ani obciążyć </w:t>
      </w:r>
      <w:r w:rsidR="00137E36" w:rsidRPr="008602DE">
        <w:rPr>
          <w:szCs w:val="24"/>
          <w:lang w:val="pl-PL"/>
        </w:rPr>
        <w:lastRenderedPageBreak/>
        <w:t xml:space="preserve">służebnością </w:t>
      </w:r>
      <w:r w:rsidR="0035383D" w:rsidRPr="008602DE">
        <w:rPr>
          <w:szCs w:val="24"/>
          <w:lang w:val="pl-PL"/>
        </w:rPr>
        <w:t xml:space="preserve">składników majątku </w:t>
      </w:r>
      <w:r w:rsidR="00137E36" w:rsidRPr="008602DE">
        <w:rPr>
          <w:szCs w:val="24"/>
          <w:lang w:val="pl-PL"/>
        </w:rPr>
        <w:t>w powyższej zdefiniowanym</w:t>
      </w:r>
      <w:r w:rsidR="00CF70F3" w:rsidRPr="008602DE">
        <w:rPr>
          <w:szCs w:val="24"/>
          <w:lang w:val="pl-PL"/>
        </w:rPr>
        <w:t xml:space="preserve"> okresie, ani w inny sposób ograniczyć prawa</w:t>
      </w:r>
      <w:r w:rsidR="00277B18" w:rsidRPr="008602DE">
        <w:rPr>
          <w:szCs w:val="24"/>
          <w:lang w:val="pl-PL"/>
        </w:rPr>
        <w:t xml:space="preserve"> własności </w:t>
      </w:r>
      <w:r w:rsidRPr="008602DE">
        <w:rPr>
          <w:szCs w:val="24"/>
          <w:lang w:val="pl-PL"/>
        </w:rPr>
        <w:t>Głównego B</w:t>
      </w:r>
      <w:r w:rsidR="00277B18" w:rsidRPr="008602DE">
        <w:rPr>
          <w:szCs w:val="24"/>
          <w:lang w:val="pl-PL"/>
        </w:rPr>
        <w:t xml:space="preserve">eneficjenta </w:t>
      </w:r>
      <w:r w:rsidR="00CF70F3" w:rsidRPr="008602DE">
        <w:rPr>
          <w:szCs w:val="24"/>
          <w:lang w:val="pl-PL"/>
        </w:rPr>
        <w:t xml:space="preserve">do </w:t>
      </w:r>
      <w:r w:rsidR="0035383D" w:rsidRPr="008602DE">
        <w:rPr>
          <w:szCs w:val="24"/>
          <w:lang w:val="pl-PL"/>
        </w:rPr>
        <w:t>tych składników majątku</w:t>
      </w:r>
      <w:r w:rsidR="00277B18" w:rsidRPr="008602DE">
        <w:rPr>
          <w:szCs w:val="24"/>
          <w:lang w:val="pl-PL"/>
        </w:rPr>
        <w:t xml:space="preserve">. Postanowienie to nie ma wpływu na możliwość zastąpienia niedziałających lub nieodpowiednich pod względem technicznym </w:t>
      </w:r>
      <w:r w:rsidR="0035383D" w:rsidRPr="008602DE">
        <w:rPr>
          <w:szCs w:val="24"/>
          <w:lang w:val="pl-PL"/>
        </w:rPr>
        <w:t xml:space="preserve">składników majątku </w:t>
      </w:r>
      <w:r w:rsidR="00277B18" w:rsidRPr="008602DE">
        <w:rPr>
          <w:szCs w:val="24"/>
          <w:lang w:val="pl-PL"/>
        </w:rPr>
        <w:t xml:space="preserve">nowymi </w:t>
      </w:r>
      <w:r w:rsidR="0035383D" w:rsidRPr="008602DE">
        <w:rPr>
          <w:szCs w:val="24"/>
          <w:lang w:val="pl-PL"/>
        </w:rPr>
        <w:t>składnikami majątku</w:t>
      </w:r>
      <w:r w:rsidR="00277B18" w:rsidRPr="008602DE">
        <w:rPr>
          <w:szCs w:val="24"/>
          <w:lang w:val="pl-PL"/>
        </w:rPr>
        <w:t xml:space="preserve">, w celu utrzymania rezultatów projektu, za uprzednią pisemną zgodą podmiotu </w:t>
      </w:r>
      <w:r w:rsidR="00F005D9" w:rsidRPr="008602DE">
        <w:rPr>
          <w:szCs w:val="24"/>
          <w:lang w:val="pl-PL"/>
        </w:rPr>
        <w:t>udzielając</w:t>
      </w:r>
      <w:r w:rsidR="00277B18" w:rsidRPr="008602DE">
        <w:rPr>
          <w:szCs w:val="24"/>
          <w:lang w:val="pl-PL"/>
        </w:rPr>
        <w:t>ego dofinansowani</w:t>
      </w:r>
      <w:r w:rsidR="00F005D9" w:rsidRPr="008602DE">
        <w:rPr>
          <w:szCs w:val="24"/>
          <w:lang w:val="pl-PL"/>
        </w:rPr>
        <w:t>a</w:t>
      </w:r>
      <w:r w:rsidR="00277B18" w:rsidRPr="008602DE">
        <w:rPr>
          <w:szCs w:val="24"/>
          <w:lang w:val="pl-PL"/>
        </w:rPr>
        <w:t>. Postanowienie to nie ma wpływu na obowiązek określony w części II punkcie 3 niniejszej decyzji.</w:t>
      </w:r>
    </w:p>
    <w:p w14:paraId="7D65F0C7" w14:textId="54A241AB" w:rsidR="00277B18" w:rsidRPr="008602DE" w:rsidRDefault="00277B18" w:rsidP="002B7FA0">
      <w:pPr>
        <w:pStyle w:val="Nadpis2"/>
      </w:pPr>
      <w:proofErr w:type="spellStart"/>
      <w:r w:rsidRPr="008602DE">
        <w:t>Przestrzeganie</w:t>
      </w:r>
      <w:proofErr w:type="spellEnd"/>
      <w:r w:rsidRPr="008602DE">
        <w:t xml:space="preserve"> </w:t>
      </w:r>
      <w:proofErr w:type="spellStart"/>
      <w:r w:rsidRPr="008602DE">
        <w:t>postanowień</w:t>
      </w:r>
      <w:proofErr w:type="spellEnd"/>
      <w:r w:rsidRPr="008602DE">
        <w:t xml:space="preserve"> </w:t>
      </w:r>
      <w:proofErr w:type="spellStart"/>
      <w:r w:rsidRPr="008602DE">
        <w:t>Podręcznika</w:t>
      </w:r>
      <w:proofErr w:type="spellEnd"/>
      <w:r w:rsidRPr="008602DE">
        <w:t xml:space="preserve"> </w:t>
      </w:r>
      <w:proofErr w:type="spellStart"/>
      <w:r w:rsidR="0035383D" w:rsidRPr="008602DE">
        <w:t>W</w:t>
      </w:r>
      <w:r w:rsidRPr="008602DE">
        <w:t>nioskodawcy</w:t>
      </w:r>
      <w:proofErr w:type="spellEnd"/>
      <w:r w:rsidRPr="008602DE">
        <w:t xml:space="preserve"> i </w:t>
      </w:r>
      <w:proofErr w:type="spellStart"/>
      <w:r w:rsidRPr="008602DE">
        <w:t>Podręcznika</w:t>
      </w:r>
      <w:proofErr w:type="spellEnd"/>
      <w:r w:rsidRPr="008602DE">
        <w:t xml:space="preserve"> </w:t>
      </w:r>
      <w:proofErr w:type="spellStart"/>
      <w:r w:rsidR="0035383D" w:rsidRPr="008602DE">
        <w:t>B</w:t>
      </w:r>
      <w:r w:rsidRPr="008602DE">
        <w:t>eneficjenta</w:t>
      </w:r>
      <w:proofErr w:type="spellEnd"/>
      <w:r w:rsidRPr="008602DE">
        <w:t xml:space="preserve"> </w:t>
      </w:r>
    </w:p>
    <w:p w14:paraId="4AD3056B" w14:textId="640DC625" w:rsidR="00561C21" w:rsidRPr="008602DE" w:rsidRDefault="006856EF" w:rsidP="001827C1">
      <w:pPr>
        <w:jc w:val="both"/>
        <w:rPr>
          <w:szCs w:val="24"/>
          <w:lang w:val="pl-PL"/>
        </w:rPr>
      </w:pPr>
      <w:r w:rsidRPr="008602DE">
        <w:rPr>
          <w:szCs w:val="24"/>
          <w:lang w:val="pl-PL"/>
        </w:rPr>
        <w:t xml:space="preserve">Główny </w:t>
      </w:r>
      <w:r w:rsidR="00277B18" w:rsidRPr="008602DE">
        <w:rPr>
          <w:szCs w:val="24"/>
          <w:lang w:val="pl-PL"/>
        </w:rPr>
        <w:t>Beneficjent ponosi odpowiedzialność za przestrzeganie wsz</w:t>
      </w:r>
      <w:r w:rsidR="0000363A" w:rsidRPr="008602DE">
        <w:rPr>
          <w:szCs w:val="24"/>
          <w:lang w:val="pl-PL"/>
        </w:rPr>
        <w:t>ystki</w:t>
      </w:r>
      <w:r w:rsidR="00277B18" w:rsidRPr="008602DE">
        <w:rPr>
          <w:szCs w:val="24"/>
          <w:lang w:val="pl-PL"/>
        </w:rPr>
        <w:t xml:space="preserve">ch pozostałych obowiązków związanych z realizacją projektu, które zdefiniowane zostały w </w:t>
      </w:r>
      <w:r w:rsidR="001E47A5" w:rsidRPr="008602DE">
        <w:rPr>
          <w:szCs w:val="24"/>
          <w:lang w:val="pl-PL"/>
        </w:rPr>
        <w:t>obowi</w:t>
      </w:r>
      <w:r w:rsidR="00AD1ED4" w:rsidRPr="008602DE">
        <w:rPr>
          <w:rFonts w:cs="Arial"/>
          <w:szCs w:val="24"/>
          <w:lang w:val="pl-PL"/>
        </w:rPr>
        <w:t>ą</w:t>
      </w:r>
      <w:r w:rsidR="001E47A5" w:rsidRPr="008602DE">
        <w:rPr>
          <w:szCs w:val="24"/>
          <w:lang w:val="pl-PL"/>
        </w:rPr>
        <w:t>zującej</w:t>
      </w:r>
      <w:r w:rsidR="00277B18" w:rsidRPr="008602DE">
        <w:rPr>
          <w:szCs w:val="24"/>
          <w:lang w:val="pl-PL"/>
        </w:rPr>
        <w:t xml:space="preserve"> wersji Podręcznika </w:t>
      </w:r>
      <w:r w:rsidR="0035383D" w:rsidRPr="008602DE">
        <w:rPr>
          <w:szCs w:val="24"/>
          <w:lang w:val="pl-PL"/>
        </w:rPr>
        <w:t>W</w:t>
      </w:r>
      <w:r w:rsidR="00277B18" w:rsidRPr="008602DE">
        <w:rPr>
          <w:szCs w:val="24"/>
          <w:lang w:val="pl-PL"/>
        </w:rPr>
        <w:t xml:space="preserve">nioskodawcy i Podręcznika </w:t>
      </w:r>
      <w:r w:rsidR="0035383D" w:rsidRPr="008602DE">
        <w:rPr>
          <w:szCs w:val="24"/>
          <w:lang w:val="pl-PL"/>
        </w:rPr>
        <w:t>B</w:t>
      </w:r>
      <w:r w:rsidR="00277B18" w:rsidRPr="008602DE">
        <w:rPr>
          <w:szCs w:val="24"/>
          <w:lang w:val="pl-PL"/>
        </w:rPr>
        <w:t xml:space="preserve">eneficjenta. Jeżeli beneficjent nie będzie przestrzegał tych obowiązków, podmiot </w:t>
      </w:r>
      <w:r w:rsidR="00F005D9" w:rsidRPr="008602DE">
        <w:rPr>
          <w:szCs w:val="24"/>
          <w:lang w:val="pl-PL"/>
        </w:rPr>
        <w:t>udzielając</w:t>
      </w:r>
      <w:r w:rsidR="00277B18" w:rsidRPr="008602DE">
        <w:rPr>
          <w:szCs w:val="24"/>
          <w:lang w:val="pl-PL"/>
        </w:rPr>
        <w:t>y dofinansowani</w:t>
      </w:r>
      <w:r w:rsidR="00F005D9" w:rsidRPr="008602DE">
        <w:rPr>
          <w:szCs w:val="24"/>
          <w:lang w:val="pl-PL"/>
        </w:rPr>
        <w:t>a</w:t>
      </w:r>
      <w:r w:rsidR="00277B18" w:rsidRPr="008602DE">
        <w:rPr>
          <w:szCs w:val="24"/>
          <w:lang w:val="pl-PL"/>
        </w:rPr>
        <w:t xml:space="preserve"> ma prawo zastosować analogicznie postanowienia części IV punktu 1 niniejszej Decyzji, tzn. </w:t>
      </w:r>
      <w:r w:rsidR="00620188" w:rsidRPr="008602DE">
        <w:rPr>
          <w:szCs w:val="24"/>
          <w:lang w:val="pl-PL"/>
        </w:rPr>
        <w:t>wstrzymać</w:t>
      </w:r>
      <w:r w:rsidR="00277B18" w:rsidRPr="008602DE">
        <w:rPr>
          <w:szCs w:val="24"/>
          <w:lang w:val="pl-PL"/>
        </w:rPr>
        <w:t xml:space="preserve"> płatności aż do momentu, kiedy obowiązki te zostaną spełnione. </w:t>
      </w:r>
    </w:p>
    <w:p w14:paraId="1C83AEEB" w14:textId="6E79BF6C" w:rsidR="00561C21" w:rsidRPr="008602DE" w:rsidRDefault="00561C21" w:rsidP="002B7FA0">
      <w:pPr>
        <w:pStyle w:val="Nadpis2"/>
      </w:pPr>
      <w:bookmarkStart w:id="28" w:name="_Toc434755131"/>
      <w:proofErr w:type="spellStart"/>
      <w:r w:rsidRPr="008602DE">
        <w:t>Informowanie</w:t>
      </w:r>
      <w:proofErr w:type="spellEnd"/>
      <w:r w:rsidRPr="008602DE">
        <w:t xml:space="preserve"> o </w:t>
      </w:r>
      <w:proofErr w:type="spellStart"/>
      <w:r w:rsidRPr="008602DE">
        <w:t>zmianach</w:t>
      </w:r>
      <w:proofErr w:type="spellEnd"/>
      <w:r w:rsidRPr="008602DE">
        <w:t xml:space="preserve"> </w:t>
      </w:r>
      <w:proofErr w:type="spellStart"/>
      <w:r w:rsidR="0035383D" w:rsidRPr="008602DE">
        <w:t>beneficjentów</w:t>
      </w:r>
      <w:proofErr w:type="spellEnd"/>
      <w:r w:rsidR="0035383D" w:rsidRPr="008602DE">
        <w:t xml:space="preserve"> </w:t>
      </w:r>
      <w:proofErr w:type="spellStart"/>
      <w:r w:rsidRPr="008602DE">
        <w:t>rzeczywistych</w:t>
      </w:r>
      <w:proofErr w:type="spellEnd"/>
      <w:r w:rsidRPr="008602DE">
        <w:t xml:space="preserve"> </w:t>
      </w:r>
    </w:p>
    <w:p w14:paraId="02DA2712" w14:textId="2D453B7C" w:rsidR="00561C21" w:rsidRPr="008602DE" w:rsidRDefault="00561C21" w:rsidP="001827C1">
      <w:pPr>
        <w:jc w:val="both"/>
        <w:rPr>
          <w:lang w:val="pl-PL"/>
        </w:rPr>
      </w:pPr>
      <w:r w:rsidRPr="008602DE">
        <w:rPr>
          <w:lang w:val="pl-PL"/>
        </w:rPr>
        <w:t xml:space="preserve">Główny </w:t>
      </w:r>
      <w:r w:rsidR="0035383D" w:rsidRPr="008602DE">
        <w:rPr>
          <w:lang w:val="pl-PL"/>
        </w:rPr>
        <w:t>B</w:t>
      </w:r>
      <w:r w:rsidRPr="008602DE">
        <w:rPr>
          <w:lang w:val="pl-PL"/>
        </w:rPr>
        <w:t xml:space="preserve">eneficjent, który jest osobą podlegającą rejestracji zgodnie z ustawą nr 37/2021 o rejestracji </w:t>
      </w:r>
      <w:r w:rsidR="0035383D" w:rsidRPr="008602DE">
        <w:rPr>
          <w:lang w:val="pl-PL"/>
        </w:rPr>
        <w:t xml:space="preserve">beneficjentów </w:t>
      </w:r>
      <w:r w:rsidRPr="008602DE">
        <w:rPr>
          <w:lang w:val="pl-PL"/>
        </w:rPr>
        <w:t xml:space="preserve">rzeczywistych, z późniejszymi zmianami, jest zobowiązany do bezzwłocznego informowania </w:t>
      </w:r>
      <w:r w:rsidR="0035383D" w:rsidRPr="008602DE">
        <w:rPr>
          <w:lang w:val="pl-PL"/>
        </w:rPr>
        <w:t xml:space="preserve">podmiotu </w:t>
      </w:r>
      <w:r w:rsidRPr="008602DE">
        <w:rPr>
          <w:lang w:val="pl-PL"/>
        </w:rPr>
        <w:t xml:space="preserve">udzielającego dofinansowanie o wszelkich zmianach dotyczących jego rzeczywistego </w:t>
      </w:r>
      <w:r w:rsidR="0035383D" w:rsidRPr="008602DE">
        <w:rPr>
          <w:lang w:val="pl-PL"/>
        </w:rPr>
        <w:t>beneficjenta</w:t>
      </w:r>
      <w:r w:rsidRPr="008602DE">
        <w:rPr>
          <w:lang w:val="pl-PL"/>
        </w:rPr>
        <w:t xml:space="preserve">, a także jest zobowiązany do przedłożenia w dowolnym </w:t>
      </w:r>
      <w:r w:rsidRPr="008602DE">
        <w:rPr>
          <w:szCs w:val="24"/>
          <w:lang w:val="pl-PL"/>
        </w:rPr>
        <w:t>momencie</w:t>
      </w:r>
      <w:r w:rsidRPr="008602DE">
        <w:rPr>
          <w:lang w:val="pl-PL"/>
        </w:rPr>
        <w:t xml:space="preserve">, na wniosek </w:t>
      </w:r>
      <w:r w:rsidR="0035383D" w:rsidRPr="008602DE">
        <w:rPr>
          <w:lang w:val="pl-PL"/>
        </w:rPr>
        <w:t xml:space="preserve">podmiotu </w:t>
      </w:r>
      <w:r w:rsidRPr="008602DE">
        <w:rPr>
          <w:lang w:val="pl-PL"/>
        </w:rPr>
        <w:t xml:space="preserve">udzielającego dofinansowanie, Instytucji Płatniczej, Instytucji Audytowej, Komisji Europejskiej, Europejskiego Trybunału Obrachunkowego, rozstrzygających dokumentów potwierdzających prawidłowość danych dotyczących jego rzeczywistego </w:t>
      </w:r>
      <w:r w:rsidR="0035383D" w:rsidRPr="008602DE">
        <w:rPr>
          <w:lang w:val="pl-PL"/>
        </w:rPr>
        <w:t xml:space="preserve">beneficjenta </w:t>
      </w:r>
      <w:r w:rsidRPr="008602DE">
        <w:rPr>
          <w:lang w:val="pl-PL"/>
        </w:rPr>
        <w:t xml:space="preserve">wpisanych do rejestru rzeczywistych </w:t>
      </w:r>
      <w:r w:rsidR="0035383D" w:rsidRPr="008602DE">
        <w:rPr>
          <w:lang w:val="pl-PL"/>
        </w:rPr>
        <w:t>beneficjentów</w:t>
      </w:r>
      <w:r w:rsidRPr="008602DE">
        <w:rPr>
          <w:lang w:val="pl-PL"/>
        </w:rPr>
        <w:t xml:space="preserve">. Przepis ten ma również zastosowanie do wszystkich czeskich partnerów projektu, w przypadku gdy są oni objęci ustawą o rejestracji rzeczywistych </w:t>
      </w:r>
      <w:r w:rsidR="0035383D" w:rsidRPr="008602DE">
        <w:rPr>
          <w:lang w:val="pl-PL"/>
        </w:rPr>
        <w:t xml:space="preserve">beneficjentów </w:t>
      </w:r>
      <w:r w:rsidRPr="008602DE">
        <w:rPr>
          <w:lang w:val="pl-PL"/>
        </w:rPr>
        <w:t>oraz do wszystkich polskich partnerów projektu objętych Centralnym Rejestrem Beneficjentów Rzeczywistych.</w:t>
      </w:r>
    </w:p>
    <w:p w14:paraId="06198BC6" w14:textId="7CEF3487" w:rsidR="00561C21" w:rsidRPr="008602DE" w:rsidRDefault="00561C21" w:rsidP="002B7FA0">
      <w:pPr>
        <w:pStyle w:val="Nadpis2"/>
      </w:pPr>
      <w:proofErr w:type="spellStart"/>
      <w:r w:rsidRPr="008602DE">
        <w:t>Udzielanie</w:t>
      </w:r>
      <w:proofErr w:type="spellEnd"/>
      <w:r w:rsidRPr="008602DE">
        <w:t xml:space="preserve"> </w:t>
      </w:r>
      <w:proofErr w:type="spellStart"/>
      <w:r w:rsidRPr="008602DE">
        <w:t>informacji</w:t>
      </w:r>
      <w:proofErr w:type="spellEnd"/>
      <w:r w:rsidRPr="008602DE">
        <w:t xml:space="preserve"> o </w:t>
      </w:r>
      <w:proofErr w:type="spellStart"/>
      <w:r w:rsidRPr="008602DE">
        <w:t>dostawcach</w:t>
      </w:r>
      <w:proofErr w:type="spellEnd"/>
      <w:r w:rsidR="0035383D" w:rsidRPr="008602DE">
        <w:t xml:space="preserve"> i </w:t>
      </w:r>
      <w:proofErr w:type="spellStart"/>
      <w:r w:rsidR="0035383D" w:rsidRPr="008602DE">
        <w:t>poddostawcach</w:t>
      </w:r>
      <w:proofErr w:type="spellEnd"/>
    </w:p>
    <w:p w14:paraId="1D13E12F" w14:textId="4B6E983F" w:rsidR="00561C21" w:rsidRPr="008602DE" w:rsidRDefault="00561C21" w:rsidP="001827C1">
      <w:pPr>
        <w:jc w:val="both"/>
        <w:rPr>
          <w:snapToGrid w:val="0"/>
          <w:lang w:val="pl-PL"/>
        </w:rPr>
      </w:pPr>
      <w:r w:rsidRPr="008602DE">
        <w:rPr>
          <w:snapToGrid w:val="0"/>
          <w:lang w:val="pl-PL"/>
        </w:rPr>
        <w:t xml:space="preserve">Główny </w:t>
      </w:r>
      <w:r w:rsidR="0035383D" w:rsidRPr="008602DE">
        <w:rPr>
          <w:snapToGrid w:val="0"/>
          <w:lang w:val="pl-PL"/>
        </w:rPr>
        <w:t>B</w:t>
      </w:r>
      <w:r w:rsidRPr="008602DE">
        <w:rPr>
          <w:snapToGrid w:val="0"/>
          <w:lang w:val="pl-PL"/>
        </w:rPr>
        <w:t xml:space="preserve">eneficjent, który korzysta w ramach projektu z usług dostawcy, </w:t>
      </w:r>
      <w:r w:rsidR="00D6349E" w:rsidRPr="008602DE">
        <w:rPr>
          <w:lang w:val="pl-PL"/>
        </w:rPr>
        <w:t>a wartość zamówienia osiąga lub przekracza progi określone we właściwych przepisach Unii Europejskiej</w:t>
      </w:r>
      <w:r w:rsidR="00D6349E" w:rsidRPr="008602DE">
        <w:rPr>
          <w:rStyle w:val="Znakapoznpodarou"/>
          <w:snapToGrid w:val="0"/>
        </w:rPr>
        <w:footnoteReference w:id="21"/>
      </w:r>
      <w:r w:rsidR="00D6349E" w:rsidRPr="008602DE">
        <w:rPr>
          <w:lang w:val="pl-PL"/>
        </w:rPr>
        <w:t xml:space="preserve">, </w:t>
      </w:r>
      <w:r w:rsidRPr="008602DE">
        <w:rPr>
          <w:snapToGrid w:val="0"/>
          <w:lang w:val="pl-PL"/>
        </w:rPr>
        <w:t xml:space="preserve">jest zobowiązany po podpisaniu </w:t>
      </w:r>
      <w:r w:rsidRPr="008602DE">
        <w:rPr>
          <w:szCs w:val="24"/>
          <w:lang w:val="pl-PL"/>
        </w:rPr>
        <w:t>odpowiednich</w:t>
      </w:r>
      <w:r w:rsidRPr="008602DE">
        <w:rPr>
          <w:snapToGrid w:val="0"/>
          <w:lang w:val="pl-PL"/>
        </w:rPr>
        <w:t xml:space="preserve"> umów, do przekazania</w:t>
      </w:r>
      <w:r w:rsidR="0035383D" w:rsidRPr="008602DE">
        <w:rPr>
          <w:snapToGrid w:val="0"/>
          <w:lang w:val="pl-PL"/>
        </w:rPr>
        <w:t xml:space="preserve"> podmiotowi</w:t>
      </w:r>
      <w:r w:rsidRPr="008602DE">
        <w:rPr>
          <w:snapToGrid w:val="0"/>
          <w:lang w:val="pl-PL"/>
        </w:rPr>
        <w:t xml:space="preserve"> udzielającemu dofinansowanie informacji:</w:t>
      </w:r>
    </w:p>
    <w:p w14:paraId="1EB27FAA" w14:textId="3E6CEE75" w:rsidR="00561C21" w:rsidRPr="008602DE" w:rsidRDefault="00561C21" w:rsidP="000B7DDC">
      <w:pPr>
        <w:numPr>
          <w:ilvl w:val="0"/>
          <w:numId w:val="21"/>
        </w:numPr>
        <w:ind w:left="851" w:hanging="431"/>
        <w:contextualSpacing/>
        <w:rPr>
          <w:rFonts w:eastAsia="Calibri"/>
          <w:snapToGrid w:val="0"/>
          <w:lang w:val="pl-PL"/>
        </w:rPr>
      </w:pPr>
      <w:r w:rsidRPr="008602DE">
        <w:rPr>
          <w:rFonts w:eastAsia="Calibri"/>
          <w:snapToGrid w:val="0"/>
          <w:lang w:val="pl-PL"/>
        </w:rPr>
        <w:t>wszystkich dostawcach, łącznie z nazwą i numer</w:t>
      </w:r>
      <w:r w:rsidR="0035383D" w:rsidRPr="008602DE">
        <w:rPr>
          <w:rFonts w:eastAsia="Calibri"/>
          <w:snapToGrid w:val="0"/>
          <w:lang w:val="pl-PL"/>
        </w:rPr>
        <w:t>em</w:t>
      </w:r>
      <w:r w:rsidRPr="008602DE">
        <w:rPr>
          <w:rFonts w:eastAsia="Calibri"/>
          <w:snapToGrid w:val="0"/>
          <w:lang w:val="pl-PL"/>
        </w:rPr>
        <w:t xml:space="preserve"> IČ/REGON do cel</w:t>
      </w:r>
      <w:r w:rsidR="0035383D" w:rsidRPr="008602DE">
        <w:rPr>
          <w:rFonts w:eastAsia="Calibri"/>
          <w:snapToGrid w:val="0"/>
          <w:lang w:val="pl-PL"/>
        </w:rPr>
        <w:t>ów</w:t>
      </w:r>
      <w:r w:rsidRPr="008602DE">
        <w:rPr>
          <w:rFonts w:eastAsia="Calibri"/>
          <w:snapToGrid w:val="0"/>
          <w:lang w:val="pl-PL"/>
        </w:rPr>
        <w:t xml:space="preserve"> podatku VAT </w:t>
      </w:r>
      <w:r w:rsidR="0035383D" w:rsidRPr="008602DE">
        <w:rPr>
          <w:rFonts w:eastAsia="Calibri"/>
          <w:snapToGrid w:val="0"/>
          <w:lang w:val="pl-PL"/>
        </w:rPr>
        <w:t xml:space="preserve">lub numerem </w:t>
      </w:r>
      <w:r w:rsidRPr="008602DE">
        <w:rPr>
          <w:rFonts w:eastAsia="Calibri"/>
          <w:snapToGrid w:val="0"/>
          <w:lang w:val="pl-PL"/>
        </w:rPr>
        <w:t>numer DIČ/NIP dostawcy(-ów);</w:t>
      </w:r>
    </w:p>
    <w:p w14:paraId="40D85ECF" w14:textId="4C84C2E3" w:rsidR="00561C21" w:rsidRPr="008602DE" w:rsidRDefault="00561C21" w:rsidP="000B7DDC">
      <w:pPr>
        <w:numPr>
          <w:ilvl w:val="0"/>
          <w:numId w:val="21"/>
        </w:numPr>
        <w:ind w:left="851" w:hanging="431"/>
        <w:contextualSpacing/>
        <w:rPr>
          <w:rFonts w:eastAsia="Calibri"/>
          <w:snapToGrid w:val="0"/>
          <w:lang w:val="pl-PL"/>
        </w:rPr>
      </w:pPr>
      <w:r w:rsidRPr="008602DE">
        <w:rPr>
          <w:rFonts w:eastAsia="Calibri"/>
          <w:snapToGrid w:val="0"/>
          <w:lang w:val="pl-PL"/>
        </w:rPr>
        <w:t xml:space="preserve">o wszystkich rzeczywistych </w:t>
      </w:r>
      <w:r w:rsidR="0035383D" w:rsidRPr="008602DE">
        <w:rPr>
          <w:rFonts w:eastAsia="Calibri"/>
          <w:snapToGrid w:val="0"/>
          <w:lang w:val="pl-PL"/>
        </w:rPr>
        <w:t xml:space="preserve">beneficjentach </w:t>
      </w:r>
      <w:r w:rsidRPr="008602DE">
        <w:rPr>
          <w:rFonts w:eastAsia="Calibri"/>
          <w:snapToGrid w:val="0"/>
          <w:lang w:val="pl-PL"/>
        </w:rPr>
        <w:t xml:space="preserve">dostawcy zgodnie z art. 3 </w:t>
      </w:r>
      <w:r w:rsidR="007A2DA5" w:rsidRPr="008602DE">
        <w:rPr>
          <w:rFonts w:eastAsia="Calibri"/>
          <w:snapToGrid w:val="0"/>
          <w:lang w:val="pl-PL"/>
        </w:rPr>
        <w:t xml:space="preserve">punkt </w:t>
      </w:r>
      <w:r w:rsidRPr="008602DE">
        <w:rPr>
          <w:rFonts w:eastAsia="Calibri"/>
          <w:snapToGrid w:val="0"/>
          <w:lang w:val="pl-PL"/>
        </w:rPr>
        <w:t xml:space="preserve">6 dyrektywy (UE) 2015/849, a mianowicie imię (imiona), nazwisko, datę urodzenia i numer REGON do celów VAT </w:t>
      </w:r>
      <w:r w:rsidR="0035383D" w:rsidRPr="008602DE">
        <w:rPr>
          <w:rFonts w:eastAsia="Calibri"/>
          <w:snapToGrid w:val="0"/>
          <w:lang w:val="pl-PL"/>
        </w:rPr>
        <w:t xml:space="preserve">lub </w:t>
      </w:r>
      <w:r w:rsidRPr="008602DE">
        <w:rPr>
          <w:rFonts w:eastAsia="Calibri"/>
          <w:snapToGrid w:val="0"/>
          <w:lang w:val="pl-PL"/>
        </w:rPr>
        <w:t xml:space="preserve">numer </w:t>
      </w:r>
      <w:r w:rsidR="0035383D" w:rsidRPr="008602DE">
        <w:rPr>
          <w:rFonts w:eastAsia="Calibri"/>
          <w:snapToGrid w:val="0"/>
          <w:lang w:val="pl-PL"/>
        </w:rPr>
        <w:t>DIČ/</w:t>
      </w:r>
      <w:r w:rsidRPr="008602DE">
        <w:rPr>
          <w:rFonts w:eastAsia="Calibri"/>
          <w:snapToGrid w:val="0"/>
          <w:lang w:val="pl-PL"/>
        </w:rPr>
        <w:t xml:space="preserve">NIP rzeczywistych </w:t>
      </w:r>
      <w:r w:rsidR="0035383D" w:rsidRPr="008602DE">
        <w:rPr>
          <w:rFonts w:eastAsia="Calibri"/>
          <w:snapToGrid w:val="0"/>
          <w:lang w:val="pl-PL"/>
        </w:rPr>
        <w:t>beneficjentów;</w:t>
      </w:r>
    </w:p>
    <w:p w14:paraId="47B9F651" w14:textId="47FC3525" w:rsidR="00561C21" w:rsidRPr="008602DE" w:rsidRDefault="00561C21" w:rsidP="000B7DDC">
      <w:pPr>
        <w:numPr>
          <w:ilvl w:val="0"/>
          <w:numId w:val="21"/>
        </w:numPr>
        <w:ind w:left="851" w:hanging="431"/>
        <w:contextualSpacing/>
        <w:rPr>
          <w:rFonts w:eastAsia="Calibri"/>
          <w:snapToGrid w:val="0"/>
          <w:lang w:val="pl-PL"/>
        </w:rPr>
      </w:pPr>
      <w:r w:rsidRPr="008602DE">
        <w:rPr>
          <w:rFonts w:eastAsia="Calibri"/>
          <w:snapToGrid w:val="0"/>
          <w:lang w:val="pl-PL"/>
        </w:rPr>
        <w:t>o umowie z dostawcą (data zawarcia umowy, nazwa, numer referencyjny i kwota umowy)</w:t>
      </w:r>
      <w:r w:rsidR="0035383D" w:rsidRPr="008602DE">
        <w:rPr>
          <w:rFonts w:eastAsia="Calibri"/>
          <w:snapToGrid w:val="0"/>
          <w:lang w:val="pl-PL"/>
        </w:rPr>
        <w:t>.</w:t>
      </w:r>
    </w:p>
    <w:p w14:paraId="0E18DCC9" w14:textId="1C355C47" w:rsidR="0035383D" w:rsidRPr="008602DE" w:rsidRDefault="0035383D" w:rsidP="001827C1">
      <w:pPr>
        <w:spacing w:before="120"/>
        <w:jc w:val="both"/>
        <w:rPr>
          <w:rFonts w:eastAsia="Calibri"/>
          <w:snapToGrid w:val="0"/>
          <w:lang w:val="pl-PL"/>
        </w:rPr>
      </w:pPr>
      <w:r w:rsidRPr="008602DE">
        <w:rPr>
          <w:rFonts w:eastAsia="Calibri"/>
          <w:snapToGrid w:val="0"/>
          <w:lang w:val="pl-PL"/>
        </w:rPr>
        <w:lastRenderedPageBreak/>
        <w:t xml:space="preserve">Główny beneficjent, który korzysta z usług dostawcy/wykonawcy w ramach projektu, jest również </w:t>
      </w:r>
      <w:r w:rsidRPr="008602DE">
        <w:rPr>
          <w:szCs w:val="24"/>
          <w:lang w:val="pl-PL"/>
        </w:rPr>
        <w:t>zobowiązany</w:t>
      </w:r>
      <w:r w:rsidRPr="008602DE">
        <w:rPr>
          <w:rFonts w:eastAsia="Calibri"/>
          <w:snapToGrid w:val="0"/>
          <w:lang w:val="pl-PL"/>
        </w:rPr>
        <w:t xml:space="preserve"> do poinformowania podmiotu udzielającego dofinansowanie, czy dostawca/wykonawca korzysta z poddostawców/podwykonawców, a jeśli tak, to po podpisaniu odpowiednich umów o podwykonawstwo powinien poinformować o:</w:t>
      </w:r>
    </w:p>
    <w:p w14:paraId="6ADAD605" w14:textId="2073ED2B" w:rsidR="0035383D" w:rsidRPr="008602DE" w:rsidRDefault="0035383D" w:rsidP="003E26B1">
      <w:pPr>
        <w:pStyle w:val="Odstavecseseznamem"/>
        <w:numPr>
          <w:ilvl w:val="0"/>
          <w:numId w:val="27"/>
        </w:numPr>
        <w:ind w:left="851" w:hanging="491"/>
        <w:jc w:val="both"/>
        <w:rPr>
          <w:snapToGrid w:val="0"/>
          <w:lang w:val="pl-PL"/>
        </w:rPr>
      </w:pPr>
      <w:r w:rsidRPr="008602DE">
        <w:rPr>
          <w:rFonts w:eastAsia="Calibri"/>
          <w:snapToGrid w:val="0"/>
          <w:lang w:val="pl-PL"/>
        </w:rPr>
        <w:t xml:space="preserve">wszystkich poddostawcach/podwykonawcach wymienionych w dokumentacji </w:t>
      </w:r>
      <w:r w:rsidR="00D6349E" w:rsidRPr="008602DE">
        <w:rPr>
          <w:rFonts w:eastAsia="Calibri"/>
          <w:snapToGrid w:val="0"/>
          <w:lang w:val="pl-PL"/>
        </w:rPr>
        <w:t xml:space="preserve">do zamówienia </w:t>
      </w:r>
      <w:r w:rsidRPr="008602DE">
        <w:rPr>
          <w:rFonts w:eastAsia="Calibri"/>
          <w:snapToGrid w:val="0"/>
          <w:lang w:val="pl-PL"/>
        </w:rPr>
        <w:t>dostawcy/wykonawcy,</w:t>
      </w:r>
      <w:r w:rsidR="00D6349E" w:rsidRPr="008602DE">
        <w:rPr>
          <w:rFonts w:eastAsia="Calibri"/>
          <w:snapToGrid w:val="0"/>
          <w:lang w:val="pl-PL"/>
        </w:rPr>
        <w:t xml:space="preserve">(podać </w:t>
      </w:r>
      <w:r w:rsidRPr="008602DE">
        <w:rPr>
          <w:rFonts w:eastAsia="Calibri"/>
          <w:snapToGrid w:val="0"/>
          <w:lang w:val="pl-PL"/>
        </w:rPr>
        <w:t>nazwę i numer IČ/REGON do celów VAT i DIČ/NIP</w:t>
      </w:r>
      <w:r w:rsidR="00D6349E" w:rsidRPr="008602DE">
        <w:rPr>
          <w:rFonts w:eastAsia="Calibri"/>
          <w:snapToGrid w:val="0"/>
          <w:lang w:val="pl-PL"/>
        </w:rPr>
        <w:t xml:space="preserve">), </w:t>
      </w:r>
      <w:r w:rsidR="00D6349E" w:rsidRPr="008602DE">
        <w:rPr>
          <w:snapToGrid w:val="0"/>
          <w:szCs w:val="24"/>
          <w:lang w:val="pl-PL"/>
        </w:rPr>
        <w:t>w przypadku, gdy całkowita wartość poddostawy/podwykonawstwa danego poddostawcy/podwykonawcy przekracza kwotę 50 000 EUR;</w:t>
      </w:r>
    </w:p>
    <w:p w14:paraId="24F0B49D" w14:textId="0D2F41B3" w:rsidR="00D6349E" w:rsidRPr="008602DE" w:rsidRDefault="0035383D" w:rsidP="00D6349E">
      <w:pPr>
        <w:pStyle w:val="Odstavecseseznamem"/>
        <w:numPr>
          <w:ilvl w:val="0"/>
          <w:numId w:val="27"/>
        </w:numPr>
        <w:ind w:left="851" w:hanging="491"/>
        <w:jc w:val="both"/>
        <w:rPr>
          <w:snapToGrid w:val="0"/>
          <w:lang w:val="pl-PL"/>
        </w:rPr>
      </w:pPr>
      <w:r w:rsidRPr="008602DE">
        <w:rPr>
          <w:rFonts w:eastAsia="Calibri"/>
          <w:snapToGrid w:val="0"/>
          <w:lang w:val="pl-PL"/>
        </w:rPr>
        <w:t>umowach o podwykonawstwo (data zawarcia umowy, nazwa, numer referencyjny i kwota umowy)</w:t>
      </w:r>
      <w:r w:rsidR="00D6349E" w:rsidRPr="008602DE">
        <w:rPr>
          <w:rFonts w:eastAsia="Calibri"/>
          <w:snapToGrid w:val="0"/>
          <w:lang w:val="pl-PL"/>
        </w:rPr>
        <w:t xml:space="preserve"> </w:t>
      </w:r>
      <w:r w:rsidR="00D6349E" w:rsidRPr="008602DE">
        <w:rPr>
          <w:snapToGrid w:val="0"/>
          <w:szCs w:val="24"/>
          <w:lang w:val="pl-PL"/>
        </w:rPr>
        <w:t>odpowiadających poddostawom/podwykonawstwom wg poprzedniego punktu.</w:t>
      </w:r>
    </w:p>
    <w:p w14:paraId="318FA409" w14:textId="414DA315" w:rsidR="0035383D" w:rsidRPr="008602DE" w:rsidRDefault="0035383D" w:rsidP="003E26B1">
      <w:pPr>
        <w:ind w:left="420"/>
        <w:contextualSpacing/>
        <w:rPr>
          <w:rFonts w:eastAsia="Calibri"/>
          <w:snapToGrid w:val="0"/>
          <w:lang w:val="pl-PL"/>
        </w:rPr>
      </w:pPr>
      <w:r w:rsidRPr="008602DE">
        <w:rPr>
          <w:rFonts w:eastAsia="Calibri"/>
          <w:snapToGrid w:val="0"/>
          <w:lang w:val="pl-PL"/>
        </w:rPr>
        <w:t>.</w:t>
      </w:r>
    </w:p>
    <w:p w14:paraId="442B4BC1" w14:textId="5D349E6C" w:rsidR="00561C21" w:rsidRPr="008602DE" w:rsidRDefault="00561C21" w:rsidP="001827C1">
      <w:pPr>
        <w:jc w:val="both"/>
        <w:rPr>
          <w:snapToGrid w:val="0"/>
          <w:lang w:val="pl-PL"/>
        </w:rPr>
      </w:pPr>
      <w:r w:rsidRPr="008602DE">
        <w:rPr>
          <w:lang w:val="pl-PL"/>
        </w:rPr>
        <w:t xml:space="preserve">Główny </w:t>
      </w:r>
      <w:r w:rsidR="00134552" w:rsidRPr="008602DE">
        <w:rPr>
          <w:szCs w:val="24"/>
          <w:lang w:val="pl-PL"/>
        </w:rPr>
        <w:t>B</w:t>
      </w:r>
      <w:r w:rsidRPr="008602DE">
        <w:rPr>
          <w:szCs w:val="24"/>
          <w:lang w:val="pl-PL"/>
        </w:rPr>
        <w:t>eneficjent</w:t>
      </w:r>
      <w:r w:rsidRPr="008602DE">
        <w:rPr>
          <w:lang w:val="pl-PL"/>
        </w:rPr>
        <w:t xml:space="preserve"> zapewni, </w:t>
      </w:r>
      <w:r w:rsidR="00134552" w:rsidRPr="008602DE">
        <w:rPr>
          <w:lang w:val="pl-PL"/>
        </w:rPr>
        <w:t xml:space="preserve">aby </w:t>
      </w:r>
      <w:r w:rsidRPr="008602DE">
        <w:rPr>
          <w:lang w:val="pl-PL"/>
        </w:rPr>
        <w:t xml:space="preserve">wszyscy partnerzy również </w:t>
      </w:r>
      <w:r w:rsidR="0035383D" w:rsidRPr="008602DE">
        <w:rPr>
          <w:lang w:val="pl-PL"/>
        </w:rPr>
        <w:t xml:space="preserve">spełnili wszystkie wymienione w niniejszym punkcie </w:t>
      </w:r>
      <w:r w:rsidR="00134552" w:rsidRPr="008602DE">
        <w:rPr>
          <w:lang w:val="pl-PL"/>
        </w:rPr>
        <w:t>obowiązki</w:t>
      </w:r>
      <w:r w:rsidRPr="008602DE">
        <w:rPr>
          <w:lang w:val="pl-PL"/>
        </w:rPr>
        <w:t>.</w:t>
      </w:r>
    </w:p>
    <w:p w14:paraId="4C060C25" w14:textId="669403EB" w:rsidR="00277B18" w:rsidRPr="008602DE" w:rsidRDefault="00277B18" w:rsidP="002B7FA0">
      <w:pPr>
        <w:pStyle w:val="Nadpis1"/>
        <w:ind w:left="0" w:hanging="1"/>
        <w:jc w:val="center"/>
        <w:rPr>
          <w:snapToGrid w:val="0"/>
          <w:lang w:val="pl-PL"/>
        </w:rPr>
      </w:pPr>
      <w:r w:rsidRPr="008602DE">
        <w:rPr>
          <w:rFonts w:eastAsia="Cambria" w:cs="Cambria"/>
          <w:lang w:val="pl-PL"/>
        </w:rPr>
        <w:t>Warunki płatności</w:t>
      </w:r>
      <w:bookmarkEnd w:id="28"/>
    </w:p>
    <w:p w14:paraId="1F0CC9E6" w14:textId="4621D327" w:rsidR="00277B18" w:rsidRPr="008602DE" w:rsidRDefault="00277B18" w:rsidP="002B7FA0">
      <w:pPr>
        <w:pStyle w:val="Nadpis2"/>
        <w:numPr>
          <w:ilvl w:val="1"/>
          <w:numId w:val="18"/>
        </w:numPr>
      </w:pPr>
      <w:bookmarkStart w:id="29" w:name="_Toc434755132"/>
      <w:proofErr w:type="spellStart"/>
      <w:r w:rsidRPr="008602DE">
        <w:t>Finansowanie</w:t>
      </w:r>
      <w:proofErr w:type="spellEnd"/>
      <w:r w:rsidRPr="008602DE">
        <w:t xml:space="preserve"> projektu </w:t>
      </w:r>
      <w:proofErr w:type="spellStart"/>
      <w:r w:rsidRPr="008602DE">
        <w:t>przez</w:t>
      </w:r>
      <w:proofErr w:type="spellEnd"/>
      <w:r w:rsidRPr="008602DE">
        <w:t xml:space="preserve"> </w:t>
      </w:r>
      <w:proofErr w:type="spellStart"/>
      <w:r w:rsidR="006856EF" w:rsidRPr="008602DE">
        <w:t>Głównego</w:t>
      </w:r>
      <w:proofErr w:type="spellEnd"/>
      <w:r w:rsidR="006856EF" w:rsidRPr="008602DE">
        <w:t xml:space="preserve"> </w:t>
      </w:r>
      <w:proofErr w:type="spellStart"/>
      <w:r w:rsidR="006856EF" w:rsidRPr="008602DE">
        <w:t>B</w:t>
      </w:r>
      <w:r w:rsidRPr="008602DE">
        <w:t>eneficjenta</w:t>
      </w:r>
      <w:proofErr w:type="spellEnd"/>
      <w:r w:rsidRPr="008602DE">
        <w:t xml:space="preserve"> </w:t>
      </w:r>
      <w:bookmarkEnd w:id="29"/>
    </w:p>
    <w:p w14:paraId="48AA49F5" w14:textId="1AAE6453" w:rsidR="00277B18" w:rsidRPr="008602DE" w:rsidRDefault="006856EF" w:rsidP="001827C1">
      <w:pPr>
        <w:jc w:val="both"/>
        <w:rPr>
          <w:lang w:val="pl-PL"/>
        </w:rPr>
      </w:pPr>
      <w:r w:rsidRPr="008602DE">
        <w:rPr>
          <w:szCs w:val="24"/>
          <w:lang w:val="pl-PL"/>
        </w:rPr>
        <w:t xml:space="preserve">Główny </w:t>
      </w:r>
      <w:r w:rsidR="00277B18" w:rsidRPr="008602DE">
        <w:rPr>
          <w:szCs w:val="24"/>
          <w:lang w:val="pl-PL"/>
        </w:rPr>
        <w:t>Beneficjent ma obowiązek zapewnienia finansowania i realizacji projektu przed</w:t>
      </w:r>
      <w:r w:rsidR="00DA6F4B" w:rsidRPr="008602DE">
        <w:rPr>
          <w:szCs w:val="24"/>
          <w:lang w:val="pl-PL"/>
        </w:rPr>
        <w:t xml:space="preserve"> złożeniem wniosku o płatność, o</w:t>
      </w:r>
      <w:r w:rsidR="00277B18" w:rsidRPr="008602DE">
        <w:rPr>
          <w:szCs w:val="24"/>
          <w:lang w:val="pl-PL"/>
        </w:rPr>
        <w:t xml:space="preserve"> ustalonej strukturze i </w:t>
      </w:r>
      <w:r w:rsidR="00DA6F4B" w:rsidRPr="008602DE">
        <w:rPr>
          <w:szCs w:val="24"/>
          <w:lang w:val="pl-PL"/>
        </w:rPr>
        <w:t xml:space="preserve">w ustalonych </w:t>
      </w:r>
      <w:r w:rsidR="00277B18" w:rsidRPr="008602DE">
        <w:rPr>
          <w:szCs w:val="24"/>
          <w:lang w:val="pl-PL"/>
        </w:rPr>
        <w:t>terminach, zgodnie z budżetem i harmonogramem projektu zdefiniowanym w części II punkcie 4 niniejszej Decyzji.</w:t>
      </w:r>
    </w:p>
    <w:p w14:paraId="47E407D5" w14:textId="77777777" w:rsidR="00277B18" w:rsidRPr="008602DE" w:rsidRDefault="00277B18" w:rsidP="002B7FA0">
      <w:pPr>
        <w:pStyle w:val="Nadpis2"/>
        <w:numPr>
          <w:ilvl w:val="1"/>
          <w:numId w:val="18"/>
        </w:numPr>
      </w:pPr>
      <w:bookmarkStart w:id="30" w:name="_Toc434755133"/>
      <w:proofErr w:type="spellStart"/>
      <w:r w:rsidRPr="008602DE">
        <w:t>Wniosek</w:t>
      </w:r>
      <w:proofErr w:type="spellEnd"/>
      <w:r w:rsidRPr="008602DE">
        <w:t xml:space="preserve"> o </w:t>
      </w:r>
      <w:proofErr w:type="spellStart"/>
      <w:r w:rsidRPr="008602DE">
        <w:t>płatność</w:t>
      </w:r>
      <w:bookmarkEnd w:id="30"/>
      <w:proofErr w:type="spellEnd"/>
    </w:p>
    <w:p w14:paraId="120D4954" w14:textId="4899D020" w:rsidR="00277B18" w:rsidRPr="008602DE" w:rsidRDefault="006856EF" w:rsidP="001827C1">
      <w:pPr>
        <w:jc w:val="both"/>
        <w:rPr>
          <w:lang w:val="pl-PL"/>
        </w:rPr>
      </w:pPr>
      <w:r w:rsidRPr="008602DE">
        <w:rPr>
          <w:szCs w:val="24"/>
          <w:lang w:val="pl-PL"/>
        </w:rPr>
        <w:t xml:space="preserve">Główny </w:t>
      </w:r>
      <w:r w:rsidR="00277B18" w:rsidRPr="008602DE">
        <w:rPr>
          <w:szCs w:val="24"/>
          <w:lang w:val="pl-PL"/>
        </w:rPr>
        <w:t>Beneficjent, w celu przyznania środków</w:t>
      </w:r>
      <w:r w:rsidR="00134552" w:rsidRPr="008602DE">
        <w:rPr>
          <w:szCs w:val="24"/>
          <w:lang w:val="pl-PL"/>
        </w:rPr>
        <w:t xml:space="preserve"> z dofinansowania</w:t>
      </w:r>
      <w:r w:rsidR="00277B18" w:rsidRPr="008602DE">
        <w:rPr>
          <w:szCs w:val="24"/>
          <w:lang w:val="pl-PL"/>
        </w:rPr>
        <w:t xml:space="preserve">, zobowiązany jest do złożenia </w:t>
      </w:r>
      <w:r w:rsidR="00B55CFA" w:rsidRPr="008602DE">
        <w:rPr>
          <w:szCs w:val="24"/>
          <w:lang w:val="pl-PL"/>
        </w:rPr>
        <w:t xml:space="preserve">podmiotowi udzielającemu </w:t>
      </w:r>
      <w:r w:rsidR="00277B18" w:rsidRPr="008602DE">
        <w:rPr>
          <w:szCs w:val="24"/>
          <w:lang w:val="pl-PL"/>
        </w:rPr>
        <w:t>dofinansowani</w:t>
      </w:r>
      <w:r w:rsidR="00F005D9" w:rsidRPr="008602DE">
        <w:rPr>
          <w:szCs w:val="24"/>
          <w:lang w:val="pl-PL"/>
        </w:rPr>
        <w:t>a</w:t>
      </w:r>
      <w:r w:rsidR="00277B18" w:rsidRPr="008602DE">
        <w:rPr>
          <w:szCs w:val="24"/>
          <w:lang w:val="pl-PL"/>
        </w:rPr>
        <w:t xml:space="preserve"> prawidłowo wypełnionego wniosku o płatność wra</w:t>
      </w:r>
      <w:r w:rsidR="00DA6F4B" w:rsidRPr="008602DE">
        <w:rPr>
          <w:szCs w:val="24"/>
          <w:lang w:val="pl-PL"/>
        </w:rPr>
        <w:t xml:space="preserve">z z </w:t>
      </w:r>
      <w:r w:rsidR="00134552" w:rsidRPr="008602DE">
        <w:rPr>
          <w:szCs w:val="24"/>
          <w:lang w:val="pl-PL"/>
        </w:rPr>
        <w:t>z</w:t>
      </w:r>
      <w:r w:rsidR="00DA6F4B" w:rsidRPr="008602DE">
        <w:rPr>
          <w:szCs w:val="24"/>
          <w:lang w:val="pl-PL"/>
        </w:rPr>
        <w:t>es</w:t>
      </w:r>
      <w:r w:rsidR="002353BE" w:rsidRPr="008602DE">
        <w:rPr>
          <w:szCs w:val="24"/>
          <w:lang w:val="pl-PL"/>
        </w:rPr>
        <w:t>t</w:t>
      </w:r>
      <w:r w:rsidR="00DA6F4B" w:rsidRPr="008602DE">
        <w:rPr>
          <w:szCs w:val="24"/>
          <w:lang w:val="pl-PL"/>
        </w:rPr>
        <w:t>awieniami</w:t>
      </w:r>
      <w:r w:rsidR="00277B18" w:rsidRPr="008602DE">
        <w:rPr>
          <w:szCs w:val="24"/>
          <w:lang w:val="pl-PL"/>
        </w:rPr>
        <w:t xml:space="preserve"> dokumentów.  </w:t>
      </w:r>
    </w:p>
    <w:p w14:paraId="26FBD2E7" w14:textId="478580BF" w:rsidR="00277B18" w:rsidRPr="008602DE" w:rsidRDefault="00134552" w:rsidP="001827C1">
      <w:pPr>
        <w:jc w:val="both"/>
        <w:rPr>
          <w:szCs w:val="24"/>
          <w:lang w:val="pl-PL"/>
        </w:rPr>
      </w:pPr>
      <w:r w:rsidRPr="008602DE">
        <w:rPr>
          <w:szCs w:val="24"/>
          <w:lang w:val="pl-PL"/>
        </w:rPr>
        <w:t>Główny B</w:t>
      </w:r>
      <w:r w:rsidR="00277B18" w:rsidRPr="008602DE">
        <w:rPr>
          <w:szCs w:val="24"/>
          <w:lang w:val="pl-PL"/>
        </w:rPr>
        <w:t>eneficjent</w:t>
      </w:r>
      <w:r w:rsidRPr="008602DE">
        <w:rPr>
          <w:szCs w:val="24"/>
          <w:lang w:val="pl-PL"/>
        </w:rPr>
        <w:t xml:space="preserve"> </w:t>
      </w:r>
      <w:r w:rsidR="00277B18" w:rsidRPr="008602DE">
        <w:rPr>
          <w:szCs w:val="24"/>
          <w:lang w:val="pl-PL"/>
        </w:rPr>
        <w:t xml:space="preserve">składa </w:t>
      </w:r>
      <w:r w:rsidRPr="008602DE">
        <w:rPr>
          <w:szCs w:val="24"/>
          <w:lang w:val="pl-PL"/>
        </w:rPr>
        <w:t>w</w:t>
      </w:r>
      <w:r w:rsidR="00277B18" w:rsidRPr="008602DE">
        <w:rPr>
          <w:szCs w:val="24"/>
          <w:lang w:val="pl-PL"/>
        </w:rPr>
        <w:t>niosek o płatność za projekt zgodnie z harmonogr</w:t>
      </w:r>
      <w:r w:rsidR="00DA6F4B" w:rsidRPr="008602DE">
        <w:rPr>
          <w:szCs w:val="24"/>
          <w:lang w:val="pl-PL"/>
        </w:rPr>
        <w:t>amem określonym w załączniku nr</w:t>
      </w:r>
      <w:r w:rsidR="00561C21" w:rsidRPr="008602DE">
        <w:rPr>
          <w:szCs w:val="24"/>
          <w:lang w:val="pl-PL"/>
        </w:rPr>
        <w:t xml:space="preserve"> </w:t>
      </w:r>
      <w:r w:rsidRPr="008602DE">
        <w:rPr>
          <w:szCs w:val="24"/>
          <w:lang w:val="pl-PL"/>
        </w:rPr>
        <w:t xml:space="preserve">5 </w:t>
      </w:r>
      <w:r w:rsidR="008225E2" w:rsidRPr="008602DE">
        <w:rPr>
          <w:szCs w:val="24"/>
          <w:lang w:val="pl-PL"/>
        </w:rPr>
        <w:t xml:space="preserve">niniejszej </w:t>
      </w:r>
      <w:r w:rsidR="00277B18" w:rsidRPr="008602DE">
        <w:rPr>
          <w:szCs w:val="24"/>
          <w:lang w:val="pl-PL"/>
        </w:rPr>
        <w:t xml:space="preserve">Decyzji. </w:t>
      </w:r>
    </w:p>
    <w:p w14:paraId="39ABEE78" w14:textId="6286D20D" w:rsidR="00E91194" w:rsidRPr="008602DE" w:rsidRDefault="00175ACC" w:rsidP="001827C1">
      <w:pPr>
        <w:jc w:val="both"/>
        <w:rPr>
          <w:lang w:val="pl-PL"/>
        </w:rPr>
      </w:pPr>
      <w:r w:rsidRPr="008602DE">
        <w:rPr>
          <w:szCs w:val="24"/>
          <w:lang w:val="pl-PL"/>
        </w:rPr>
        <w:t xml:space="preserve">Podmiot udzielający </w:t>
      </w:r>
      <w:r w:rsidR="00134552" w:rsidRPr="008602DE">
        <w:rPr>
          <w:szCs w:val="24"/>
          <w:lang w:val="pl-PL"/>
        </w:rPr>
        <w:t xml:space="preserve">dofinansowania </w:t>
      </w:r>
      <w:r w:rsidRPr="008602DE">
        <w:rPr>
          <w:szCs w:val="24"/>
          <w:lang w:val="pl-PL"/>
        </w:rPr>
        <w:t xml:space="preserve">ma prawo do przedłużenia terminu refundacji </w:t>
      </w:r>
      <w:r w:rsidR="00C16292" w:rsidRPr="008602DE">
        <w:rPr>
          <w:szCs w:val="24"/>
          <w:lang w:val="pl-PL"/>
        </w:rPr>
        <w:t xml:space="preserve">złożonego przez </w:t>
      </w:r>
      <w:r w:rsidR="006856EF" w:rsidRPr="008602DE">
        <w:rPr>
          <w:szCs w:val="24"/>
          <w:lang w:val="pl-PL"/>
        </w:rPr>
        <w:t>Głównego B</w:t>
      </w:r>
      <w:r w:rsidR="00C16292" w:rsidRPr="008602DE">
        <w:rPr>
          <w:szCs w:val="24"/>
          <w:lang w:val="pl-PL"/>
        </w:rPr>
        <w:t xml:space="preserve">eneficjenta </w:t>
      </w:r>
      <w:r w:rsidRPr="008602DE">
        <w:rPr>
          <w:szCs w:val="24"/>
          <w:lang w:val="pl-PL"/>
        </w:rPr>
        <w:t>wniosku o płatność</w:t>
      </w:r>
      <w:r w:rsidR="00C16292" w:rsidRPr="008602DE">
        <w:rPr>
          <w:szCs w:val="24"/>
          <w:lang w:val="pl-PL"/>
        </w:rPr>
        <w:t>,</w:t>
      </w:r>
      <w:r w:rsidRPr="008602DE">
        <w:rPr>
          <w:szCs w:val="24"/>
          <w:lang w:val="pl-PL"/>
        </w:rPr>
        <w:t xml:space="preserve"> </w:t>
      </w:r>
      <w:r w:rsidR="00134552" w:rsidRPr="008602DE">
        <w:rPr>
          <w:szCs w:val="24"/>
          <w:lang w:val="pl-PL"/>
        </w:rPr>
        <w:t xml:space="preserve">w razie </w:t>
      </w:r>
      <w:r w:rsidRPr="008602DE">
        <w:rPr>
          <w:szCs w:val="24"/>
          <w:lang w:val="pl-PL"/>
        </w:rPr>
        <w:t>braku środków na rachunku źródłowym Instytucji Płatniczej.</w:t>
      </w:r>
    </w:p>
    <w:p w14:paraId="13E84D75" w14:textId="77777777" w:rsidR="00277B18" w:rsidRPr="008602DE" w:rsidRDefault="00277B18" w:rsidP="002B7FA0">
      <w:pPr>
        <w:pStyle w:val="Nadpis2"/>
        <w:numPr>
          <w:ilvl w:val="1"/>
          <w:numId w:val="18"/>
        </w:numPr>
      </w:pPr>
      <w:bookmarkStart w:id="31" w:name="_Toc434755134"/>
      <w:proofErr w:type="spellStart"/>
      <w:r w:rsidRPr="008602DE">
        <w:t>Prze</w:t>
      </w:r>
      <w:r w:rsidR="000F0C01" w:rsidRPr="008602DE">
        <w:t>kazanie</w:t>
      </w:r>
      <w:proofErr w:type="spellEnd"/>
      <w:r w:rsidRPr="008602DE">
        <w:t xml:space="preserve"> </w:t>
      </w:r>
      <w:proofErr w:type="spellStart"/>
      <w:r w:rsidRPr="008602DE">
        <w:t>środków</w:t>
      </w:r>
      <w:proofErr w:type="spellEnd"/>
      <w:r w:rsidRPr="008602DE">
        <w:t xml:space="preserve"> </w:t>
      </w:r>
      <w:proofErr w:type="spellStart"/>
      <w:r w:rsidRPr="008602DE">
        <w:t>dofinansowania</w:t>
      </w:r>
      <w:bookmarkEnd w:id="31"/>
      <w:proofErr w:type="spellEnd"/>
    </w:p>
    <w:p w14:paraId="51F04F81" w14:textId="365BB0B7" w:rsidR="00277B18" w:rsidRPr="008602DE" w:rsidRDefault="006856EF" w:rsidP="001827C1">
      <w:pPr>
        <w:jc w:val="both"/>
        <w:rPr>
          <w:lang w:val="pl-PL"/>
        </w:rPr>
      </w:pPr>
      <w:r w:rsidRPr="008602DE">
        <w:rPr>
          <w:szCs w:val="24"/>
          <w:lang w:val="pl-PL"/>
        </w:rPr>
        <w:t xml:space="preserve">Główny </w:t>
      </w:r>
      <w:r w:rsidR="00277B18" w:rsidRPr="008602DE">
        <w:rPr>
          <w:szCs w:val="24"/>
          <w:lang w:val="pl-PL"/>
        </w:rPr>
        <w:t>Beneficjent będzie otrzymywał dofinansowanie w formie przelewu bezgotówkowego na sw</w:t>
      </w:r>
      <w:r w:rsidR="002E60A8" w:rsidRPr="008602DE">
        <w:rPr>
          <w:szCs w:val="24"/>
          <w:lang w:val="pl-PL"/>
        </w:rPr>
        <w:t>ój rachunek</w:t>
      </w:r>
      <w:r w:rsidR="00277B18" w:rsidRPr="008602DE">
        <w:rPr>
          <w:szCs w:val="24"/>
          <w:lang w:val="pl-PL"/>
        </w:rPr>
        <w:t xml:space="preserve"> bankow</w:t>
      </w:r>
      <w:r w:rsidR="002E60A8" w:rsidRPr="008602DE">
        <w:rPr>
          <w:szCs w:val="24"/>
          <w:lang w:val="pl-PL"/>
        </w:rPr>
        <w:t>y</w:t>
      </w:r>
      <w:r w:rsidR="00277B18" w:rsidRPr="008602DE">
        <w:rPr>
          <w:szCs w:val="24"/>
          <w:lang w:val="pl-PL"/>
        </w:rPr>
        <w:t xml:space="preserve">. </w:t>
      </w:r>
      <w:r w:rsidRPr="008602DE">
        <w:rPr>
          <w:szCs w:val="24"/>
          <w:lang w:val="pl-PL"/>
        </w:rPr>
        <w:t xml:space="preserve">Główny </w:t>
      </w:r>
      <w:r w:rsidR="00277B18" w:rsidRPr="008602DE">
        <w:rPr>
          <w:szCs w:val="24"/>
          <w:lang w:val="pl-PL"/>
        </w:rPr>
        <w:t xml:space="preserve">Beneficjent </w:t>
      </w:r>
      <w:r w:rsidR="00C60FDB" w:rsidRPr="008602DE">
        <w:rPr>
          <w:szCs w:val="24"/>
          <w:lang w:val="pl-PL"/>
        </w:rPr>
        <w:t>ma obowiązek posiadania</w:t>
      </w:r>
      <w:r w:rsidR="00277B18" w:rsidRPr="008602DE">
        <w:rPr>
          <w:szCs w:val="24"/>
          <w:lang w:val="pl-PL"/>
        </w:rPr>
        <w:t xml:space="preserve"> konta bankowego w EUR przez cały okres </w:t>
      </w:r>
      <w:r w:rsidR="002E60A8" w:rsidRPr="008602DE">
        <w:rPr>
          <w:szCs w:val="24"/>
          <w:lang w:val="pl-PL"/>
        </w:rPr>
        <w:t xml:space="preserve">otrzymywania </w:t>
      </w:r>
      <w:r w:rsidR="00277B18" w:rsidRPr="008602DE">
        <w:rPr>
          <w:szCs w:val="24"/>
          <w:lang w:val="pl-PL"/>
        </w:rPr>
        <w:t>płatności. Konto to będzie służyło do przyjmowania dofinansowania od organu finansowego Ministerstwa Rozwoju Regionalnego oraz wypłacania odpowiedniej części dofinansowania poszczególnym pa</w:t>
      </w:r>
      <w:r w:rsidR="00DA6F4B" w:rsidRPr="008602DE">
        <w:rPr>
          <w:szCs w:val="24"/>
          <w:lang w:val="pl-PL"/>
        </w:rPr>
        <w:t>r</w:t>
      </w:r>
      <w:r w:rsidR="00277B18" w:rsidRPr="008602DE">
        <w:rPr>
          <w:szCs w:val="24"/>
          <w:lang w:val="pl-PL"/>
        </w:rPr>
        <w:t>t</w:t>
      </w:r>
      <w:r w:rsidR="00DA6F4B" w:rsidRPr="008602DE">
        <w:rPr>
          <w:szCs w:val="24"/>
          <w:lang w:val="pl-PL"/>
        </w:rPr>
        <w:t>n</w:t>
      </w:r>
      <w:r w:rsidR="00277B18" w:rsidRPr="008602DE">
        <w:rPr>
          <w:szCs w:val="24"/>
          <w:lang w:val="pl-PL"/>
        </w:rPr>
        <w:t>erom proj</w:t>
      </w:r>
      <w:r w:rsidR="00DA6F4B" w:rsidRPr="008602DE">
        <w:rPr>
          <w:szCs w:val="24"/>
          <w:lang w:val="pl-PL"/>
        </w:rPr>
        <w:t>ektu, nie musi jednak służyć w</w:t>
      </w:r>
      <w:r w:rsidR="00134552" w:rsidRPr="008602DE">
        <w:rPr>
          <w:szCs w:val="24"/>
          <w:lang w:val="pl-PL"/>
        </w:rPr>
        <w:t>y</w:t>
      </w:r>
      <w:r w:rsidR="00DA6F4B" w:rsidRPr="008602DE">
        <w:rPr>
          <w:szCs w:val="24"/>
          <w:lang w:val="pl-PL"/>
        </w:rPr>
        <w:t>ł</w:t>
      </w:r>
      <w:r w:rsidR="00277B18" w:rsidRPr="008602DE">
        <w:rPr>
          <w:szCs w:val="24"/>
          <w:lang w:val="pl-PL"/>
        </w:rPr>
        <w:t xml:space="preserve">ącznie do celów projektu. </w:t>
      </w:r>
      <w:r w:rsidR="00C60FDB" w:rsidRPr="008602DE">
        <w:rPr>
          <w:szCs w:val="24"/>
          <w:lang w:val="pl-PL"/>
        </w:rPr>
        <w:t>Dane identyfikacyjne</w:t>
      </w:r>
      <w:r w:rsidR="00277B18" w:rsidRPr="008602DE">
        <w:rPr>
          <w:szCs w:val="24"/>
          <w:lang w:val="pl-PL"/>
        </w:rPr>
        <w:t xml:space="preserve"> konta stanowi</w:t>
      </w:r>
      <w:r w:rsidR="00C60FDB" w:rsidRPr="008602DE">
        <w:rPr>
          <w:szCs w:val="24"/>
          <w:lang w:val="pl-PL"/>
        </w:rPr>
        <w:t>ą</w:t>
      </w:r>
      <w:r w:rsidR="00277B18" w:rsidRPr="008602DE">
        <w:rPr>
          <w:szCs w:val="24"/>
          <w:lang w:val="pl-PL"/>
        </w:rPr>
        <w:t xml:space="preserve"> załącznik nr </w:t>
      </w:r>
      <w:r w:rsidR="005A6120" w:rsidRPr="008602DE">
        <w:rPr>
          <w:szCs w:val="24"/>
          <w:lang w:val="pl-PL"/>
        </w:rPr>
        <w:t xml:space="preserve">6 </w:t>
      </w:r>
      <w:r w:rsidR="00277B18" w:rsidRPr="008602DE">
        <w:rPr>
          <w:szCs w:val="24"/>
          <w:lang w:val="pl-PL"/>
        </w:rPr>
        <w:t>do niniejszej Decyzji. Jednostki samorządu terytorialnego i dobrowolne związki gmin oraz inne podmioty określone w § 3 podpunkt h) ustawy nr 218/2000 Dz. U. Rep</w:t>
      </w:r>
      <w:r w:rsidR="00134552" w:rsidRPr="008602DE">
        <w:rPr>
          <w:szCs w:val="24"/>
          <w:lang w:val="pl-PL"/>
        </w:rPr>
        <w:t>ubliki</w:t>
      </w:r>
      <w:r w:rsidR="00277B18" w:rsidRPr="008602DE">
        <w:rPr>
          <w:szCs w:val="24"/>
          <w:lang w:val="pl-PL"/>
        </w:rPr>
        <w:t xml:space="preserve"> Czeskiej, o</w:t>
      </w:r>
      <w:r w:rsidR="00C60FDB" w:rsidRPr="008602DE">
        <w:rPr>
          <w:szCs w:val="24"/>
          <w:lang w:val="pl-PL"/>
        </w:rPr>
        <w:t xml:space="preserve"> </w:t>
      </w:r>
      <w:r w:rsidR="00134552" w:rsidRPr="008602DE">
        <w:rPr>
          <w:szCs w:val="24"/>
          <w:lang w:val="pl-PL"/>
        </w:rPr>
        <w:t xml:space="preserve">zasadach </w:t>
      </w:r>
      <w:r w:rsidR="00C60FDB" w:rsidRPr="008602DE">
        <w:rPr>
          <w:szCs w:val="24"/>
          <w:lang w:val="pl-PL"/>
        </w:rPr>
        <w:t>budżetowych, posiadaj</w:t>
      </w:r>
      <w:r w:rsidR="00277B18" w:rsidRPr="008602DE">
        <w:rPr>
          <w:szCs w:val="24"/>
          <w:lang w:val="pl-PL"/>
        </w:rPr>
        <w:t xml:space="preserve">ą </w:t>
      </w:r>
      <w:r w:rsidR="00134552" w:rsidRPr="008602DE">
        <w:rPr>
          <w:szCs w:val="24"/>
          <w:lang w:val="pl-PL"/>
        </w:rPr>
        <w:t xml:space="preserve">rachunek </w:t>
      </w:r>
      <w:r w:rsidR="00277B18" w:rsidRPr="008602DE">
        <w:rPr>
          <w:szCs w:val="24"/>
          <w:lang w:val="pl-PL"/>
        </w:rPr>
        <w:t>w Czeskim Banku Narodowym.</w:t>
      </w:r>
    </w:p>
    <w:p w14:paraId="0B26E514" w14:textId="77777777" w:rsidR="00277B18" w:rsidRPr="008602DE" w:rsidRDefault="00277B18" w:rsidP="002B7FA0">
      <w:pPr>
        <w:pStyle w:val="Nadpis2"/>
        <w:numPr>
          <w:ilvl w:val="1"/>
          <w:numId w:val="18"/>
        </w:numPr>
      </w:pPr>
      <w:bookmarkStart w:id="32" w:name="_Toc434755135"/>
      <w:proofErr w:type="spellStart"/>
      <w:r w:rsidRPr="008602DE">
        <w:t>Plan</w:t>
      </w:r>
      <w:proofErr w:type="spellEnd"/>
      <w:r w:rsidRPr="008602DE">
        <w:t xml:space="preserve"> </w:t>
      </w:r>
      <w:proofErr w:type="spellStart"/>
      <w:r w:rsidRPr="008602DE">
        <w:t>finansowy</w:t>
      </w:r>
      <w:proofErr w:type="spellEnd"/>
      <w:r w:rsidRPr="008602DE">
        <w:t xml:space="preserve"> projektu</w:t>
      </w:r>
      <w:bookmarkEnd w:id="32"/>
    </w:p>
    <w:p w14:paraId="6E2EE23E" w14:textId="627FF6A9" w:rsidR="00277B18" w:rsidRPr="008602DE" w:rsidRDefault="00277B18" w:rsidP="001827C1">
      <w:pPr>
        <w:jc w:val="both"/>
        <w:rPr>
          <w:rStyle w:val="Znakapoznpodarou"/>
          <w:lang w:val="pl-PL"/>
        </w:rPr>
      </w:pPr>
      <w:r w:rsidRPr="008602DE">
        <w:rPr>
          <w:szCs w:val="24"/>
          <w:lang w:val="pl-PL"/>
        </w:rPr>
        <w:t>Plan finansowy projektu</w:t>
      </w:r>
      <w:r w:rsidR="00C60FDB" w:rsidRPr="008602DE">
        <w:rPr>
          <w:szCs w:val="24"/>
          <w:lang w:val="pl-PL"/>
        </w:rPr>
        <w:t>,</w:t>
      </w:r>
      <w:r w:rsidRPr="008602DE">
        <w:rPr>
          <w:szCs w:val="24"/>
          <w:lang w:val="pl-PL"/>
        </w:rPr>
        <w:t xml:space="preserve"> obejmujący korzystanie ze środków dofinansowania przez </w:t>
      </w:r>
      <w:r w:rsidR="006856EF" w:rsidRPr="008602DE">
        <w:rPr>
          <w:szCs w:val="24"/>
          <w:lang w:val="pl-PL"/>
        </w:rPr>
        <w:t>Głównego B</w:t>
      </w:r>
      <w:r w:rsidRPr="008602DE">
        <w:rPr>
          <w:szCs w:val="24"/>
          <w:lang w:val="pl-PL"/>
        </w:rPr>
        <w:t>eneficjenta</w:t>
      </w:r>
      <w:r w:rsidR="00C60FDB" w:rsidRPr="008602DE">
        <w:rPr>
          <w:szCs w:val="24"/>
          <w:lang w:val="pl-PL"/>
        </w:rPr>
        <w:t>,</w:t>
      </w:r>
      <w:r w:rsidRPr="008602DE">
        <w:rPr>
          <w:szCs w:val="24"/>
          <w:lang w:val="pl-PL"/>
        </w:rPr>
        <w:t xml:space="preserve"> stanowi załącznik nr </w:t>
      </w:r>
      <w:r w:rsidR="005A6120" w:rsidRPr="008602DE">
        <w:rPr>
          <w:szCs w:val="24"/>
          <w:lang w:val="pl-PL"/>
        </w:rPr>
        <w:t xml:space="preserve">7 </w:t>
      </w:r>
      <w:r w:rsidRPr="008602DE">
        <w:rPr>
          <w:szCs w:val="24"/>
          <w:lang w:val="pl-PL"/>
        </w:rPr>
        <w:t xml:space="preserve">do niniejszej Decyzji. Odchyleń od planu finansowego nie uznaje się za naruszenie dyscypliny budżetowej. </w:t>
      </w:r>
    </w:p>
    <w:p w14:paraId="17AA4449" w14:textId="12896C55" w:rsidR="00277B18" w:rsidRPr="008602DE" w:rsidRDefault="003726FB" w:rsidP="002B7FA0">
      <w:pPr>
        <w:pStyle w:val="Nadpis1"/>
        <w:ind w:left="0" w:hanging="1"/>
        <w:jc w:val="center"/>
        <w:rPr>
          <w:lang w:val="pl-PL"/>
        </w:rPr>
      </w:pPr>
      <w:bookmarkStart w:id="33" w:name="_Toc434755136"/>
      <w:r w:rsidRPr="008602DE">
        <w:rPr>
          <w:rFonts w:eastAsia="Cambria" w:cs="Cambria"/>
          <w:lang w:val="pl-PL"/>
        </w:rPr>
        <w:lastRenderedPageBreak/>
        <w:t>Wstrzymanie</w:t>
      </w:r>
      <w:r w:rsidR="00277B18" w:rsidRPr="008602DE">
        <w:rPr>
          <w:rFonts w:eastAsia="Cambria" w:cs="Cambria"/>
          <w:lang w:val="pl-PL"/>
        </w:rPr>
        <w:t xml:space="preserve"> </w:t>
      </w:r>
      <w:r w:rsidR="00277B18" w:rsidRPr="002B7FA0">
        <w:rPr>
          <w:lang w:val="pl-PL"/>
        </w:rPr>
        <w:t>refundacji</w:t>
      </w:r>
      <w:r w:rsidR="00277B18" w:rsidRPr="008602DE">
        <w:rPr>
          <w:rFonts w:eastAsia="Cambria" w:cs="Cambria"/>
          <w:lang w:val="pl-PL"/>
        </w:rPr>
        <w:t xml:space="preserve"> środków dofinansowania i naruszenie dyscypliny budżetowej</w:t>
      </w:r>
      <w:bookmarkEnd w:id="33"/>
    </w:p>
    <w:p w14:paraId="7A0A5D63" w14:textId="77777777" w:rsidR="00277B18" w:rsidRPr="008602DE" w:rsidRDefault="008F3DAA" w:rsidP="002B7FA0">
      <w:pPr>
        <w:pStyle w:val="Nadpis2"/>
        <w:numPr>
          <w:ilvl w:val="1"/>
          <w:numId w:val="19"/>
        </w:numPr>
      </w:pPr>
      <w:bookmarkStart w:id="34" w:name="_Toc434755137"/>
      <w:proofErr w:type="spellStart"/>
      <w:r w:rsidRPr="008602DE">
        <w:t>Wstrzymanie</w:t>
      </w:r>
      <w:proofErr w:type="spellEnd"/>
      <w:r w:rsidRPr="008602DE">
        <w:t xml:space="preserve"> </w:t>
      </w:r>
      <w:proofErr w:type="spellStart"/>
      <w:r w:rsidR="00277B18" w:rsidRPr="008602DE">
        <w:t>refundacji</w:t>
      </w:r>
      <w:proofErr w:type="spellEnd"/>
      <w:r w:rsidR="00277B18" w:rsidRPr="008602DE">
        <w:t xml:space="preserve"> </w:t>
      </w:r>
      <w:proofErr w:type="spellStart"/>
      <w:r w:rsidR="00277B18" w:rsidRPr="008602DE">
        <w:t>środków</w:t>
      </w:r>
      <w:proofErr w:type="spellEnd"/>
      <w:r w:rsidR="00277B18" w:rsidRPr="008602DE">
        <w:t xml:space="preserve"> </w:t>
      </w:r>
      <w:proofErr w:type="spellStart"/>
      <w:r w:rsidR="00277B18" w:rsidRPr="008602DE">
        <w:t>dofinansowania</w:t>
      </w:r>
      <w:bookmarkEnd w:id="34"/>
      <w:proofErr w:type="spellEnd"/>
    </w:p>
    <w:p w14:paraId="70F9AF5D" w14:textId="360E6652" w:rsidR="00277B18" w:rsidRPr="008602DE" w:rsidRDefault="00277B18" w:rsidP="000B7DDC">
      <w:pPr>
        <w:jc w:val="both"/>
        <w:rPr>
          <w:lang w:val="pl-PL"/>
        </w:rPr>
      </w:pPr>
      <w:r w:rsidRPr="008602DE">
        <w:rPr>
          <w:szCs w:val="24"/>
          <w:lang w:val="pl-PL"/>
        </w:rPr>
        <w:t xml:space="preserve">Jeżeli podmiot </w:t>
      </w:r>
      <w:r w:rsidR="00F005D9" w:rsidRPr="008602DE">
        <w:rPr>
          <w:szCs w:val="24"/>
          <w:lang w:val="pl-PL"/>
        </w:rPr>
        <w:t>udzielając</w:t>
      </w:r>
      <w:r w:rsidRPr="008602DE">
        <w:rPr>
          <w:szCs w:val="24"/>
          <w:lang w:val="pl-PL"/>
        </w:rPr>
        <w:t>y dofinansowani</w:t>
      </w:r>
      <w:r w:rsidR="00F005D9" w:rsidRPr="008602DE">
        <w:rPr>
          <w:szCs w:val="24"/>
          <w:lang w:val="pl-PL"/>
        </w:rPr>
        <w:t>a</w:t>
      </w:r>
      <w:r w:rsidRPr="008602DE">
        <w:rPr>
          <w:szCs w:val="24"/>
          <w:lang w:val="pl-PL"/>
        </w:rPr>
        <w:t xml:space="preserve"> lub też instytucja uprawniona do kontroli/audytu zgodnie z częścią II punktem 10 niniejszej Decyzji, </w:t>
      </w:r>
      <w:r w:rsidR="0089468D" w:rsidRPr="008602DE">
        <w:rPr>
          <w:szCs w:val="24"/>
          <w:lang w:val="pl-PL"/>
        </w:rPr>
        <w:t>ustali</w:t>
      </w:r>
      <w:r w:rsidRPr="008602DE">
        <w:rPr>
          <w:szCs w:val="24"/>
          <w:lang w:val="pl-PL"/>
        </w:rPr>
        <w:t xml:space="preserve">, że </w:t>
      </w:r>
      <w:r w:rsidR="006856EF" w:rsidRPr="008602DE">
        <w:rPr>
          <w:szCs w:val="24"/>
          <w:lang w:val="pl-PL"/>
        </w:rPr>
        <w:t>Główny B</w:t>
      </w:r>
      <w:r w:rsidRPr="008602DE">
        <w:rPr>
          <w:szCs w:val="24"/>
          <w:lang w:val="pl-PL"/>
        </w:rPr>
        <w:t>eneficjent nie spełnił lub nie spełnia któregoś z warunków podanych w niniejszej Decyzji albo któregoś z obowiązków zakładanych przez przepisy pra</w:t>
      </w:r>
      <w:r w:rsidR="00C60FDB" w:rsidRPr="008602DE">
        <w:rPr>
          <w:szCs w:val="24"/>
          <w:lang w:val="pl-PL"/>
        </w:rPr>
        <w:t xml:space="preserve">wa, podmiot </w:t>
      </w:r>
      <w:r w:rsidR="00F005D9" w:rsidRPr="008602DE">
        <w:rPr>
          <w:szCs w:val="24"/>
          <w:lang w:val="pl-PL"/>
        </w:rPr>
        <w:t>udzielając</w:t>
      </w:r>
      <w:r w:rsidR="00C60FDB" w:rsidRPr="008602DE">
        <w:rPr>
          <w:szCs w:val="24"/>
          <w:lang w:val="pl-PL"/>
        </w:rPr>
        <w:t>y dofinansowani</w:t>
      </w:r>
      <w:r w:rsidR="00F005D9" w:rsidRPr="008602DE">
        <w:rPr>
          <w:szCs w:val="24"/>
          <w:lang w:val="pl-PL"/>
        </w:rPr>
        <w:t>a</w:t>
      </w:r>
      <w:r w:rsidR="00C60FDB" w:rsidRPr="008602DE">
        <w:rPr>
          <w:szCs w:val="24"/>
          <w:lang w:val="pl-PL"/>
        </w:rPr>
        <w:t xml:space="preserve"> </w:t>
      </w:r>
      <w:r w:rsidRPr="008602DE">
        <w:rPr>
          <w:szCs w:val="24"/>
          <w:lang w:val="pl-PL"/>
        </w:rPr>
        <w:t xml:space="preserve">ma prawo do </w:t>
      </w:r>
      <w:r w:rsidR="003726FB" w:rsidRPr="008602DE">
        <w:rPr>
          <w:szCs w:val="24"/>
          <w:lang w:val="pl-PL"/>
        </w:rPr>
        <w:t>wstrzymania</w:t>
      </w:r>
      <w:r w:rsidRPr="008602DE">
        <w:rPr>
          <w:szCs w:val="24"/>
          <w:lang w:val="pl-PL"/>
        </w:rPr>
        <w:t xml:space="preserve"> refundacji środków dofinansowania.</w:t>
      </w:r>
      <w:r w:rsidR="00057B02" w:rsidRPr="008602DE">
        <w:rPr>
          <w:szCs w:val="24"/>
          <w:lang w:val="pl-PL"/>
        </w:rPr>
        <w:t xml:space="preserve"> </w:t>
      </w:r>
      <w:r w:rsidRPr="008602DE">
        <w:rPr>
          <w:szCs w:val="24"/>
          <w:lang w:val="pl-PL"/>
        </w:rPr>
        <w:t>Jeżeli zachodzi podejrzenie, że naruszona została dyscyplina budżetowa, w rozumieniu § 44 ustawy nr 218/2000 Dz. U. Rep</w:t>
      </w:r>
      <w:r w:rsidR="0089468D" w:rsidRPr="008602DE">
        <w:rPr>
          <w:szCs w:val="24"/>
          <w:lang w:val="pl-PL"/>
        </w:rPr>
        <w:t>ubliki</w:t>
      </w:r>
      <w:r w:rsidRPr="008602DE">
        <w:rPr>
          <w:szCs w:val="24"/>
          <w:lang w:val="pl-PL"/>
        </w:rPr>
        <w:t xml:space="preserve"> Czeskiej, podmiot </w:t>
      </w:r>
      <w:r w:rsidR="009F5B4A" w:rsidRPr="008602DE">
        <w:rPr>
          <w:szCs w:val="24"/>
          <w:lang w:val="pl-PL"/>
        </w:rPr>
        <w:t xml:space="preserve">ten </w:t>
      </w:r>
      <w:r w:rsidRPr="008602DE">
        <w:rPr>
          <w:szCs w:val="24"/>
          <w:lang w:val="pl-PL"/>
        </w:rPr>
        <w:t>będzie postępował zgodnie z ustawą nr 218/2000 Dz. U. Rep</w:t>
      </w:r>
      <w:r w:rsidR="0089468D" w:rsidRPr="008602DE">
        <w:rPr>
          <w:szCs w:val="24"/>
          <w:lang w:val="pl-PL"/>
        </w:rPr>
        <w:t>ubliki</w:t>
      </w:r>
      <w:r w:rsidRPr="008602DE">
        <w:rPr>
          <w:szCs w:val="24"/>
          <w:lang w:val="pl-PL"/>
        </w:rPr>
        <w:t xml:space="preserve"> Czeskiej oraz zgodnie z ustaloną wysokością opłat za naruszenie dyscypliny budżetowej, wg części IV, punktu 2. Jeżeli nie </w:t>
      </w:r>
      <w:r w:rsidR="0033457B" w:rsidRPr="008602DE">
        <w:rPr>
          <w:szCs w:val="24"/>
          <w:lang w:val="pl-PL"/>
        </w:rPr>
        <w:t xml:space="preserve">dojdzie do naruszenia </w:t>
      </w:r>
      <w:r w:rsidRPr="008602DE">
        <w:rPr>
          <w:szCs w:val="24"/>
          <w:lang w:val="pl-PL"/>
        </w:rPr>
        <w:t>dyscypliny budżetowej w rozumieniu § 44 ustawy nr 218/2000 Dz. U. Rep</w:t>
      </w:r>
      <w:r w:rsidR="0089468D" w:rsidRPr="008602DE">
        <w:rPr>
          <w:szCs w:val="24"/>
          <w:lang w:val="pl-PL"/>
        </w:rPr>
        <w:t>ubliki</w:t>
      </w:r>
      <w:r w:rsidRPr="008602DE">
        <w:rPr>
          <w:szCs w:val="24"/>
          <w:lang w:val="pl-PL"/>
        </w:rPr>
        <w:t xml:space="preserve"> Czeskiej, podmiot </w:t>
      </w:r>
      <w:r w:rsidR="00F005D9" w:rsidRPr="008602DE">
        <w:rPr>
          <w:szCs w:val="24"/>
          <w:lang w:val="pl-PL"/>
        </w:rPr>
        <w:t>udzielając</w:t>
      </w:r>
      <w:r w:rsidRPr="008602DE">
        <w:rPr>
          <w:szCs w:val="24"/>
          <w:lang w:val="pl-PL"/>
        </w:rPr>
        <w:t xml:space="preserve">y </w:t>
      </w:r>
      <w:r w:rsidR="00F005D9" w:rsidRPr="008602DE">
        <w:rPr>
          <w:szCs w:val="24"/>
          <w:lang w:val="pl-PL"/>
        </w:rPr>
        <w:t xml:space="preserve">dofinansowania </w:t>
      </w:r>
      <w:r w:rsidRPr="008602DE">
        <w:rPr>
          <w:szCs w:val="24"/>
          <w:lang w:val="pl-PL"/>
        </w:rPr>
        <w:t xml:space="preserve">będzie postępował zgodnie z częścią IV, </w:t>
      </w:r>
      <w:r w:rsidR="007A2DA5" w:rsidRPr="008602DE">
        <w:rPr>
          <w:szCs w:val="24"/>
          <w:lang w:val="pl-PL"/>
        </w:rPr>
        <w:t>punkt</w:t>
      </w:r>
      <w:r w:rsidRPr="008602DE">
        <w:rPr>
          <w:szCs w:val="24"/>
          <w:lang w:val="pl-PL"/>
        </w:rPr>
        <w:t xml:space="preserve"> 3.</w:t>
      </w:r>
    </w:p>
    <w:p w14:paraId="35C979FF" w14:textId="77777777" w:rsidR="00277B18" w:rsidRPr="008602DE" w:rsidRDefault="00277B18" w:rsidP="002B7FA0">
      <w:pPr>
        <w:pStyle w:val="Nadpis2"/>
        <w:numPr>
          <w:ilvl w:val="1"/>
          <w:numId w:val="19"/>
        </w:numPr>
      </w:pPr>
      <w:bookmarkStart w:id="35" w:name="_Toc434755138"/>
      <w:proofErr w:type="spellStart"/>
      <w:r w:rsidRPr="008602DE">
        <w:t>Różnice</w:t>
      </w:r>
      <w:proofErr w:type="spellEnd"/>
      <w:r w:rsidRPr="008602DE">
        <w:t xml:space="preserve"> w </w:t>
      </w:r>
      <w:proofErr w:type="spellStart"/>
      <w:r w:rsidRPr="008602DE">
        <w:t>opłatach</w:t>
      </w:r>
      <w:proofErr w:type="spellEnd"/>
      <w:r w:rsidRPr="008602DE">
        <w:t xml:space="preserve"> za </w:t>
      </w:r>
      <w:proofErr w:type="spellStart"/>
      <w:r w:rsidRPr="008602DE">
        <w:t>naruszenie</w:t>
      </w:r>
      <w:proofErr w:type="spellEnd"/>
      <w:r w:rsidRPr="008602DE">
        <w:t xml:space="preserve"> </w:t>
      </w:r>
      <w:proofErr w:type="spellStart"/>
      <w:r w:rsidRPr="008602DE">
        <w:t>dyscypliny</w:t>
      </w:r>
      <w:proofErr w:type="spellEnd"/>
      <w:r w:rsidRPr="008602DE">
        <w:t xml:space="preserve"> </w:t>
      </w:r>
      <w:proofErr w:type="spellStart"/>
      <w:r w:rsidRPr="008602DE">
        <w:t>bu</w:t>
      </w:r>
      <w:r w:rsidR="00C60FDB" w:rsidRPr="008602DE">
        <w:t>dżetowej</w:t>
      </w:r>
      <w:proofErr w:type="spellEnd"/>
      <w:r w:rsidR="00C60FDB" w:rsidRPr="008602DE">
        <w:t xml:space="preserve"> w </w:t>
      </w:r>
      <w:proofErr w:type="spellStart"/>
      <w:r w:rsidR="00C60FDB" w:rsidRPr="008602DE">
        <w:t>zależności</w:t>
      </w:r>
      <w:proofErr w:type="spellEnd"/>
      <w:r w:rsidR="00C60FDB" w:rsidRPr="008602DE">
        <w:t xml:space="preserve"> od </w:t>
      </w:r>
      <w:proofErr w:type="spellStart"/>
      <w:r w:rsidR="00C60FDB" w:rsidRPr="008602DE">
        <w:t>wagi</w:t>
      </w:r>
      <w:proofErr w:type="spellEnd"/>
      <w:r w:rsidR="00C60FDB" w:rsidRPr="008602DE">
        <w:t xml:space="preserve"> </w:t>
      </w:r>
      <w:proofErr w:type="spellStart"/>
      <w:r w:rsidR="00C60FDB" w:rsidRPr="008602DE">
        <w:t>naruszenia</w:t>
      </w:r>
      <w:proofErr w:type="spellEnd"/>
      <w:r w:rsidRPr="008602DE">
        <w:t xml:space="preserve"> </w:t>
      </w:r>
      <w:proofErr w:type="spellStart"/>
      <w:r w:rsidRPr="008602DE">
        <w:t>warunków</w:t>
      </w:r>
      <w:bookmarkEnd w:id="35"/>
      <w:proofErr w:type="spellEnd"/>
    </w:p>
    <w:p w14:paraId="0D5A052E" w14:textId="6CA2A58C" w:rsidR="00277B18" w:rsidRPr="008602DE" w:rsidRDefault="00C60FDB" w:rsidP="000B7DDC">
      <w:pPr>
        <w:pStyle w:val="Zkladntext3"/>
        <w:widowControl w:val="0"/>
        <w:numPr>
          <w:ilvl w:val="1"/>
          <w:numId w:val="11"/>
        </w:numPr>
        <w:ind w:left="567" w:hanging="573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>Jeżeli</w:t>
      </w:r>
      <w:r w:rsidR="00277B18" w:rsidRPr="008602DE">
        <w:rPr>
          <w:sz w:val="22"/>
          <w:szCs w:val="22"/>
          <w:lang w:val="pl-PL"/>
        </w:rPr>
        <w:t xml:space="preserve"> kolejne postanowienie nie zakłada inaczej, naruszenie obowiązków określonych w niniejszej Decyzji stanowi naruszenie dyscypliny budżetowej w rozumieniu § 44 ust. 1, podpunkt b) i podpunkt j) ustawy nr 218/2000 Dz. U. Rep</w:t>
      </w:r>
      <w:r w:rsidR="0089468D" w:rsidRPr="008602DE">
        <w:rPr>
          <w:sz w:val="22"/>
          <w:szCs w:val="22"/>
          <w:lang w:val="pl-PL"/>
        </w:rPr>
        <w:t>ubliki</w:t>
      </w:r>
      <w:r w:rsidR="00277B18" w:rsidRPr="008602DE">
        <w:rPr>
          <w:sz w:val="22"/>
          <w:szCs w:val="22"/>
          <w:lang w:val="pl-PL"/>
        </w:rPr>
        <w:t xml:space="preserve"> Czeskiej, czego k</w:t>
      </w:r>
      <w:r w:rsidRPr="008602DE">
        <w:rPr>
          <w:sz w:val="22"/>
          <w:szCs w:val="22"/>
          <w:lang w:val="pl-PL"/>
        </w:rPr>
        <w:t xml:space="preserve">onsekwencją jest narzucenie obowiązkowych opłat </w:t>
      </w:r>
      <w:r w:rsidR="00277B18" w:rsidRPr="008602DE">
        <w:rPr>
          <w:sz w:val="22"/>
          <w:szCs w:val="22"/>
          <w:lang w:val="pl-PL"/>
        </w:rPr>
        <w:t xml:space="preserve">za naruszenie dyscypliny budżetowej, </w:t>
      </w:r>
      <w:r w:rsidRPr="008602DE">
        <w:rPr>
          <w:sz w:val="22"/>
          <w:szCs w:val="22"/>
          <w:lang w:val="pl-PL"/>
        </w:rPr>
        <w:t>odpowiadając</w:t>
      </w:r>
      <w:r w:rsidR="009F5B4A" w:rsidRPr="008602DE">
        <w:rPr>
          <w:sz w:val="22"/>
          <w:szCs w:val="22"/>
          <w:lang w:val="pl-PL"/>
        </w:rPr>
        <w:t>ych</w:t>
      </w:r>
      <w:r w:rsidRPr="008602DE">
        <w:rPr>
          <w:sz w:val="22"/>
          <w:szCs w:val="22"/>
          <w:lang w:val="pl-PL"/>
        </w:rPr>
        <w:t xml:space="preserve"> swą wysokością </w:t>
      </w:r>
      <w:r w:rsidR="00277B18" w:rsidRPr="008602DE">
        <w:rPr>
          <w:sz w:val="22"/>
          <w:szCs w:val="22"/>
          <w:lang w:val="pl-PL"/>
        </w:rPr>
        <w:t>kwocie, na którą naruszono dyscyplinę budżetową.</w:t>
      </w:r>
    </w:p>
    <w:p w14:paraId="51856B82" w14:textId="77777777" w:rsidR="00277B18" w:rsidRPr="008602DE" w:rsidRDefault="00277B18" w:rsidP="000B7DDC">
      <w:pPr>
        <w:pStyle w:val="Zkladntext3"/>
        <w:widowControl w:val="0"/>
        <w:numPr>
          <w:ilvl w:val="1"/>
          <w:numId w:val="11"/>
        </w:numPr>
        <w:ind w:left="567" w:hanging="573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 xml:space="preserve">Jeżeli któraś z wartości wskaźników produktu projektu, określonych w części II, punkcie 6.1 oraz w załączniku nr </w:t>
      </w:r>
      <w:r w:rsidR="00A015AF" w:rsidRPr="008602DE">
        <w:rPr>
          <w:sz w:val="22"/>
          <w:szCs w:val="22"/>
          <w:lang w:val="pl-PL"/>
        </w:rPr>
        <w:t xml:space="preserve">2 </w:t>
      </w:r>
      <w:r w:rsidRPr="008602DE">
        <w:rPr>
          <w:sz w:val="22"/>
          <w:szCs w:val="22"/>
          <w:lang w:val="pl-PL"/>
        </w:rPr>
        <w:t xml:space="preserve">do niniejszej Decyzji, nie zostanie zrealizowana, wysokość naruszenia dyscypliny budżetowej </w:t>
      </w:r>
      <w:r w:rsidR="0077729A" w:rsidRPr="008602DE">
        <w:rPr>
          <w:sz w:val="22"/>
          <w:szCs w:val="22"/>
          <w:lang w:val="pl-PL"/>
        </w:rPr>
        <w:t xml:space="preserve">ustalona zostanie w takim samym stosunku do całościowej kwoty dofinansowania, co stosunek niezrealizowanej wartości wskaźnika produktu do docelowej wartości wskaźnika produktu podanej w załączniku nr </w:t>
      </w:r>
      <w:r w:rsidR="00A015AF" w:rsidRPr="008602DE">
        <w:rPr>
          <w:sz w:val="22"/>
          <w:szCs w:val="22"/>
          <w:lang w:val="pl-PL"/>
        </w:rPr>
        <w:t xml:space="preserve">2 </w:t>
      </w:r>
      <w:r w:rsidR="0077729A" w:rsidRPr="008602DE">
        <w:rPr>
          <w:sz w:val="22"/>
          <w:szCs w:val="22"/>
          <w:lang w:val="pl-PL"/>
        </w:rPr>
        <w:t>do niniejszej Decyzji.</w:t>
      </w:r>
    </w:p>
    <w:p w14:paraId="067A441B" w14:textId="77777777" w:rsidR="00277B18" w:rsidRPr="008602DE" w:rsidRDefault="00277B18" w:rsidP="000B7DDC">
      <w:pPr>
        <w:pStyle w:val="Zkladntext3"/>
        <w:widowControl w:val="0"/>
        <w:numPr>
          <w:ilvl w:val="1"/>
          <w:numId w:val="11"/>
        </w:numPr>
        <w:ind w:left="567" w:hanging="573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 xml:space="preserve">Jeżeli dojdzie do naruszenia obowiązków określonych w części II, punkcie 3 niniejszej Decyzji, wysokość naruszenia dyscypliny budżetowej </w:t>
      </w:r>
      <w:r w:rsidR="0077729A" w:rsidRPr="008602DE">
        <w:rPr>
          <w:sz w:val="22"/>
          <w:szCs w:val="22"/>
          <w:lang w:val="pl-PL"/>
        </w:rPr>
        <w:t>ustalona</w:t>
      </w:r>
      <w:r w:rsidR="00C60FDB" w:rsidRPr="008602DE">
        <w:rPr>
          <w:sz w:val="22"/>
          <w:szCs w:val="22"/>
          <w:lang w:val="pl-PL"/>
        </w:rPr>
        <w:t xml:space="preserve"> zostanie w </w:t>
      </w:r>
      <w:r w:rsidR="0077729A" w:rsidRPr="008602DE">
        <w:rPr>
          <w:sz w:val="22"/>
          <w:szCs w:val="22"/>
          <w:lang w:val="pl-PL"/>
        </w:rPr>
        <w:t xml:space="preserve"> takim samym stosunku</w:t>
      </w:r>
      <w:r w:rsidR="00C60FDB" w:rsidRPr="008602DE">
        <w:rPr>
          <w:sz w:val="22"/>
          <w:szCs w:val="22"/>
          <w:lang w:val="pl-PL"/>
        </w:rPr>
        <w:t xml:space="preserve"> do</w:t>
      </w:r>
      <w:r w:rsidRPr="008602DE">
        <w:rPr>
          <w:sz w:val="22"/>
          <w:szCs w:val="22"/>
          <w:lang w:val="pl-PL"/>
        </w:rPr>
        <w:t xml:space="preserve"> całkowitej kwoty dofinansowania, co </w:t>
      </w:r>
      <w:r w:rsidR="0077729A" w:rsidRPr="008602DE">
        <w:rPr>
          <w:sz w:val="22"/>
          <w:szCs w:val="22"/>
          <w:lang w:val="pl-PL"/>
        </w:rPr>
        <w:t>stosun</w:t>
      </w:r>
      <w:r w:rsidR="00057B02" w:rsidRPr="008602DE">
        <w:rPr>
          <w:sz w:val="22"/>
          <w:szCs w:val="22"/>
          <w:lang w:val="pl-PL"/>
        </w:rPr>
        <w:t>e</w:t>
      </w:r>
      <w:r w:rsidR="0077729A" w:rsidRPr="008602DE">
        <w:rPr>
          <w:sz w:val="22"/>
          <w:szCs w:val="22"/>
          <w:lang w:val="pl-PL"/>
        </w:rPr>
        <w:t>k</w:t>
      </w:r>
      <w:r w:rsidRPr="008602DE">
        <w:rPr>
          <w:sz w:val="22"/>
          <w:szCs w:val="22"/>
          <w:lang w:val="pl-PL"/>
        </w:rPr>
        <w:t xml:space="preserve"> rozpoczętych miesięcy, w których obowiązek ten nie został zrealizowany do całego okresu, w którym obowiązki te powinny być przestrzegane (tzn. do </w:t>
      </w:r>
      <w:r w:rsidR="005A6120" w:rsidRPr="008602DE">
        <w:rPr>
          <w:sz w:val="22"/>
          <w:szCs w:val="22"/>
          <w:lang w:val="pl-PL"/>
        </w:rPr>
        <w:t>12/</w:t>
      </w:r>
      <w:r w:rsidRPr="008602DE">
        <w:rPr>
          <w:sz w:val="22"/>
          <w:szCs w:val="22"/>
          <w:lang w:val="pl-PL"/>
        </w:rPr>
        <w:t>60 miesięcy).</w:t>
      </w:r>
    </w:p>
    <w:p w14:paraId="1B93662D" w14:textId="36B5EE29" w:rsidR="00277B18" w:rsidRPr="008602DE" w:rsidRDefault="00277B18" w:rsidP="000B7DDC">
      <w:pPr>
        <w:pStyle w:val="Zkladntext3"/>
        <w:widowControl w:val="0"/>
        <w:numPr>
          <w:ilvl w:val="1"/>
          <w:numId w:val="11"/>
        </w:numPr>
        <w:ind w:left="567" w:hanging="573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>Jeżeli dojdzie do naruszenia obowiązków określonych w części II, punkt 12.</w:t>
      </w:r>
      <w:r w:rsidR="002353BE" w:rsidRPr="008602DE">
        <w:rPr>
          <w:sz w:val="22"/>
          <w:szCs w:val="22"/>
          <w:lang w:val="pl-PL"/>
        </w:rPr>
        <w:t xml:space="preserve">2 (jeżeli warunek ten obowiązuje w przypadku projektu) </w:t>
      </w:r>
      <w:r w:rsidRPr="008602DE">
        <w:rPr>
          <w:sz w:val="22"/>
          <w:szCs w:val="22"/>
          <w:lang w:val="pl-PL"/>
        </w:rPr>
        <w:t xml:space="preserve"> niniejszej Decyzji, opłaty za naruszenie dyscypliny budżetowej, zgodnie z § 44a, ust. 4, podpunkt a) ustawy nr 218/2000 Dz. U. </w:t>
      </w:r>
      <w:r w:rsidR="0089468D" w:rsidRPr="008602DE">
        <w:rPr>
          <w:sz w:val="22"/>
          <w:szCs w:val="22"/>
          <w:lang w:val="pl-PL"/>
        </w:rPr>
        <w:t xml:space="preserve">Republiki </w:t>
      </w:r>
      <w:r w:rsidRPr="008602DE">
        <w:rPr>
          <w:sz w:val="22"/>
          <w:szCs w:val="22"/>
          <w:lang w:val="pl-PL"/>
        </w:rPr>
        <w:t>Czeskiej, wynosić będą 0-1% całkowitej kwoty dofinansowania.</w:t>
      </w:r>
    </w:p>
    <w:p w14:paraId="00C37FD4" w14:textId="7C7E6FEF" w:rsidR="00277B18" w:rsidRPr="008602DE" w:rsidRDefault="00277B18" w:rsidP="000B7DDC">
      <w:pPr>
        <w:pStyle w:val="Zkladntext3"/>
        <w:widowControl w:val="0"/>
        <w:numPr>
          <w:ilvl w:val="1"/>
          <w:numId w:val="11"/>
        </w:numPr>
        <w:ind w:left="567" w:hanging="573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 xml:space="preserve">Jeżeli dojdzie do naruszenia obowiązków określonych w części II, punkt 14, 15 i 16 niniejszej Decyzji, opłaty za naruszenie dyscypliny budżetowej, zgodnie z § 44a, ust. 4, podpunkt a) ustawy nr 218/2000 Dz. U. </w:t>
      </w:r>
      <w:r w:rsidR="0089468D" w:rsidRPr="008602DE">
        <w:rPr>
          <w:sz w:val="22"/>
          <w:szCs w:val="22"/>
          <w:lang w:val="pl-PL"/>
        </w:rPr>
        <w:t xml:space="preserve">Republiki </w:t>
      </w:r>
      <w:r w:rsidRPr="008602DE">
        <w:rPr>
          <w:sz w:val="22"/>
          <w:szCs w:val="22"/>
          <w:lang w:val="pl-PL"/>
        </w:rPr>
        <w:t>Czeskiej, wynosić będą 0-5% całkowitej kwoty dofinansowania.</w:t>
      </w:r>
    </w:p>
    <w:p w14:paraId="670B9352" w14:textId="19141B1D" w:rsidR="00277B18" w:rsidRPr="008602DE" w:rsidRDefault="00277B18" w:rsidP="000B7DDC">
      <w:pPr>
        <w:pStyle w:val="Zkladntext3"/>
        <w:widowControl w:val="0"/>
        <w:numPr>
          <w:ilvl w:val="1"/>
          <w:numId w:val="11"/>
        </w:numPr>
        <w:ind w:left="567" w:hanging="573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 xml:space="preserve">Jeżeli dojdzie do naruszenia obowiązków określonych w części II, punkt 11 niniejszej Decyzji, opłaty za naruszenie dyscypliny budżetowej, zgodnie z § 44a, ust. 4, podpunkt a) ustawy nr 218/2000 Dz. U. </w:t>
      </w:r>
      <w:r w:rsidR="0089468D" w:rsidRPr="008602DE">
        <w:rPr>
          <w:sz w:val="22"/>
          <w:szCs w:val="22"/>
          <w:lang w:val="pl-PL"/>
        </w:rPr>
        <w:t xml:space="preserve">Republiki </w:t>
      </w:r>
      <w:r w:rsidRPr="008602DE">
        <w:rPr>
          <w:sz w:val="22"/>
          <w:szCs w:val="22"/>
          <w:lang w:val="pl-PL"/>
        </w:rPr>
        <w:t xml:space="preserve">Czeskiej, określone zostaną w oparciu o </w:t>
      </w:r>
      <w:r w:rsidR="00AF0574" w:rsidRPr="008602DE">
        <w:rPr>
          <w:sz w:val="22"/>
          <w:szCs w:val="22"/>
          <w:lang w:val="pl-PL"/>
        </w:rPr>
        <w:t>rozdzia</w:t>
      </w:r>
      <w:r w:rsidR="00AF0574" w:rsidRPr="008602DE">
        <w:rPr>
          <w:rFonts w:cs="Arial"/>
          <w:sz w:val="22"/>
          <w:szCs w:val="22"/>
          <w:lang w:val="pl-PL"/>
        </w:rPr>
        <w:t>ł</w:t>
      </w:r>
      <w:r w:rsidR="00AF0574" w:rsidRPr="008602DE">
        <w:rPr>
          <w:sz w:val="22"/>
          <w:szCs w:val="22"/>
          <w:lang w:val="pl-PL"/>
        </w:rPr>
        <w:t xml:space="preserve"> „Promocja” Podr</w:t>
      </w:r>
      <w:r w:rsidR="00AF0574" w:rsidRPr="008602DE">
        <w:rPr>
          <w:rFonts w:cs="Arial"/>
          <w:sz w:val="22"/>
          <w:szCs w:val="22"/>
          <w:lang w:val="pl-PL"/>
        </w:rPr>
        <w:t>ę</w:t>
      </w:r>
      <w:r w:rsidR="00AF0574" w:rsidRPr="008602DE">
        <w:rPr>
          <w:sz w:val="22"/>
          <w:szCs w:val="22"/>
          <w:lang w:val="pl-PL"/>
        </w:rPr>
        <w:t>cznika Beneficjenta</w:t>
      </w:r>
      <w:r w:rsidRPr="008602DE">
        <w:rPr>
          <w:sz w:val="22"/>
          <w:szCs w:val="22"/>
          <w:lang w:val="pl-PL"/>
        </w:rPr>
        <w:t>.</w:t>
      </w:r>
    </w:p>
    <w:p w14:paraId="421FB08B" w14:textId="23F687A2" w:rsidR="00277B18" w:rsidRPr="008602DE" w:rsidRDefault="00277B18" w:rsidP="000B7DDC">
      <w:pPr>
        <w:pStyle w:val="Zkladntext3"/>
        <w:widowControl w:val="0"/>
        <w:numPr>
          <w:ilvl w:val="1"/>
          <w:numId w:val="11"/>
        </w:numPr>
        <w:ind w:left="567" w:hanging="573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 xml:space="preserve">Jeżeli dojdzie do naruszenia obowiązków określonych w części II, punkt 2, 9 i 10.1 niniejszej Decyzji, opłaty za naruszenie dyscypliny budżetowej, zgodnie z § 44a, ust. 4, </w:t>
      </w:r>
      <w:r w:rsidRPr="008602DE">
        <w:rPr>
          <w:sz w:val="22"/>
          <w:szCs w:val="22"/>
          <w:lang w:val="pl-PL"/>
        </w:rPr>
        <w:lastRenderedPageBreak/>
        <w:t xml:space="preserve">podpunkt a) ustawy nr 218/2000 Dz. U. </w:t>
      </w:r>
      <w:r w:rsidR="0089468D" w:rsidRPr="008602DE">
        <w:rPr>
          <w:sz w:val="22"/>
          <w:szCs w:val="22"/>
          <w:lang w:val="pl-PL"/>
        </w:rPr>
        <w:t xml:space="preserve">Republiki </w:t>
      </w:r>
      <w:r w:rsidRPr="008602DE">
        <w:rPr>
          <w:sz w:val="22"/>
          <w:szCs w:val="22"/>
          <w:lang w:val="pl-PL"/>
        </w:rPr>
        <w:t>Czeskiej, równe będą całkowitej kwocie dofinansowania.</w:t>
      </w:r>
    </w:p>
    <w:p w14:paraId="15F55B2D" w14:textId="5DB1C450" w:rsidR="00277B18" w:rsidRPr="008602DE" w:rsidRDefault="00277B18" w:rsidP="000B7DDC">
      <w:pPr>
        <w:pStyle w:val="Zkladntext3"/>
        <w:widowControl w:val="0"/>
        <w:numPr>
          <w:ilvl w:val="1"/>
          <w:numId w:val="11"/>
        </w:numPr>
        <w:ind w:left="567" w:hanging="573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 xml:space="preserve">W przypadku naruszenia obowiązków określonych w części II, </w:t>
      </w:r>
      <w:r w:rsidR="007A2DA5" w:rsidRPr="008602DE">
        <w:rPr>
          <w:sz w:val="22"/>
          <w:szCs w:val="22"/>
          <w:lang w:val="pl-PL"/>
        </w:rPr>
        <w:t>punkt</w:t>
      </w:r>
      <w:r w:rsidRPr="008602DE">
        <w:rPr>
          <w:sz w:val="22"/>
          <w:szCs w:val="22"/>
          <w:lang w:val="pl-PL"/>
        </w:rPr>
        <w:t xml:space="preserve"> 8.1 niniejszej Decyzji, </w:t>
      </w:r>
      <w:r w:rsidR="006349FF" w:rsidRPr="008602DE">
        <w:rPr>
          <w:sz w:val="22"/>
          <w:szCs w:val="22"/>
          <w:lang w:val="pl-PL"/>
        </w:rPr>
        <w:t xml:space="preserve">w przypadku zamówień publicznych udzielanych przez </w:t>
      </w:r>
      <w:r w:rsidR="00057B02" w:rsidRPr="008602DE">
        <w:rPr>
          <w:sz w:val="22"/>
          <w:szCs w:val="22"/>
          <w:lang w:val="pl-PL"/>
        </w:rPr>
        <w:t xml:space="preserve">Głównego Beneficjenta lub </w:t>
      </w:r>
      <w:r w:rsidR="006349FF" w:rsidRPr="008602DE">
        <w:rPr>
          <w:sz w:val="22"/>
          <w:szCs w:val="22"/>
          <w:lang w:val="pl-PL"/>
        </w:rPr>
        <w:t>partnera czeskiego</w:t>
      </w:r>
      <w:r w:rsidRPr="008602DE">
        <w:rPr>
          <w:sz w:val="22"/>
          <w:szCs w:val="22"/>
          <w:lang w:val="pl-PL"/>
        </w:rPr>
        <w:t xml:space="preserve">, wysokość opłat za naruszenie dyscypliny budżetowej zgodnie z § 44a, ust. 4, podpunkt a) ustawy nr 218/2000 Dz. U. </w:t>
      </w:r>
      <w:r w:rsidR="0089468D" w:rsidRPr="008602DE">
        <w:rPr>
          <w:sz w:val="22"/>
          <w:szCs w:val="22"/>
          <w:lang w:val="pl-PL"/>
        </w:rPr>
        <w:t xml:space="preserve">Republiki </w:t>
      </w:r>
      <w:r w:rsidRPr="008602DE">
        <w:rPr>
          <w:sz w:val="22"/>
          <w:szCs w:val="22"/>
          <w:lang w:val="pl-PL"/>
        </w:rPr>
        <w:t>Czeskiej</w:t>
      </w:r>
      <w:r w:rsidR="007F3CE6">
        <w:rPr>
          <w:sz w:val="22"/>
          <w:szCs w:val="22"/>
          <w:lang w:val="pl-PL"/>
        </w:rPr>
        <w:t xml:space="preserve"> </w:t>
      </w:r>
      <w:r w:rsidRPr="008602DE">
        <w:rPr>
          <w:sz w:val="22"/>
          <w:szCs w:val="22"/>
          <w:lang w:val="pl-PL"/>
        </w:rPr>
        <w:t xml:space="preserve">określona </w:t>
      </w:r>
      <w:r w:rsidR="0084029B">
        <w:rPr>
          <w:sz w:val="22"/>
          <w:szCs w:val="22"/>
          <w:lang w:val="pl-PL"/>
        </w:rPr>
        <w:t xml:space="preserve">jest </w:t>
      </w:r>
      <w:r w:rsidRPr="008602DE">
        <w:rPr>
          <w:sz w:val="22"/>
          <w:szCs w:val="22"/>
          <w:lang w:val="pl-PL"/>
        </w:rPr>
        <w:t xml:space="preserve">w </w:t>
      </w:r>
      <w:r w:rsidR="00E41AE2" w:rsidRPr="00E41AE2">
        <w:rPr>
          <w:sz w:val="22"/>
          <w:szCs w:val="22"/>
          <w:lang w:val="pl-PL"/>
        </w:rPr>
        <w:t xml:space="preserve">kwocie określonej w </w:t>
      </w:r>
      <w:r w:rsidR="00C60FDB" w:rsidRPr="008602DE">
        <w:rPr>
          <w:sz w:val="22"/>
          <w:szCs w:val="22"/>
          <w:lang w:val="pl-PL"/>
        </w:rPr>
        <w:t>dokumencie „</w:t>
      </w:r>
      <w:r w:rsidRPr="008602DE">
        <w:rPr>
          <w:sz w:val="22"/>
          <w:szCs w:val="22"/>
          <w:lang w:val="pl-PL"/>
        </w:rPr>
        <w:t xml:space="preserve">Decyzja Komisji </w:t>
      </w:r>
      <w:r w:rsidR="005A6120" w:rsidRPr="008602DE">
        <w:rPr>
          <w:sz w:val="22"/>
          <w:szCs w:val="22"/>
          <w:lang w:val="pl-PL"/>
        </w:rPr>
        <w:t>C(2019)3452 z dnia 14.05.2019 r.</w:t>
      </w:r>
      <w:r w:rsidR="00107307" w:rsidRPr="008602DE">
        <w:rPr>
          <w:sz w:val="22"/>
          <w:szCs w:val="22"/>
          <w:lang w:val="pl-PL"/>
        </w:rPr>
        <w:t xml:space="preserve"> </w:t>
      </w:r>
      <w:r w:rsidR="005F4484">
        <w:rPr>
          <w:sz w:val="22"/>
          <w:szCs w:val="22"/>
          <w:lang w:val="pl-PL"/>
        </w:rPr>
        <w:t xml:space="preserve">ustanawiająca </w:t>
      </w:r>
      <w:r w:rsidR="00BA2EDB" w:rsidRPr="008602DE">
        <w:rPr>
          <w:sz w:val="22"/>
          <w:szCs w:val="22"/>
          <w:lang w:val="pl-PL"/>
        </w:rPr>
        <w:t xml:space="preserve"> </w:t>
      </w:r>
      <w:r w:rsidRPr="008602DE">
        <w:rPr>
          <w:sz w:val="22"/>
          <w:szCs w:val="22"/>
          <w:lang w:val="pl-PL"/>
        </w:rPr>
        <w:t xml:space="preserve"> </w:t>
      </w:r>
      <w:r w:rsidR="00BA2EDB" w:rsidRPr="008602DE">
        <w:rPr>
          <w:sz w:val="22"/>
          <w:szCs w:val="22"/>
          <w:lang w:val="pl-PL"/>
        </w:rPr>
        <w:t xml:space="preserve">wytyczne dotyczące </w:t>
      </w:r>
      <w:r w:rsidRPr="008602DE">
        <w:rPr>
          <w:sz w:val="22"/>
          <w:szCs w:val="22"/>
          <w:lang w:val="pl-PL"/>
        </w:rPr>
        <w:t xml:space="preserve">określania korekt finansowych </w:t>
      </w:r>
      <w:r w:rsidR="00BD57E6">
        <w:rPr>
          <w:sz w:val="22"/>
          <w:szCs w:val="22"/>
          <w:lang w:val="pl-PL"/>
        </w:rPr>
        <w:t xml:space="preserve">w odniesieniu </w:t>
      </w:r>
      <w:r w:rsidR="00BA2EDB" w:rsidRPr="008602DE">
        <w:rPr>
          <w:sz w:val="22"/>
          <w:szCs w:val="22"/>
          <w:lang w:val="pl-PL"/>
        </w:rPr>
        <w:t>d</w:t>
      </w:r>
      <w:r w:rsidR="00BD57E6">
        <w:rPr>
          <w:sz w:val="22"/>
          <w:szCs w:val="22"/>
          <w:lang w:val="pl-PL"/>
        </w:rPr>
        <w:t>o</w:t>
      </w:r>
      <w:r w:rsidRPr="008602DE">
        <w:rPr>
          <w:sz w:val="22"/>
          <w:szCs w:val="22"/>
          <w:lang w:val="pl-PL"/>
        </w:rPr>
        <w:t xml:space="preserve"> wydatków finansowanych przez Unię w przypadku nieprzestrzegania </w:t>
      </w:r>
      <w:r w:rsidR="00BD57E6">
        <w:rPr>
          <w:sz w:val="22"/>
          <w:szCs w:val="22"/>
          <w:lang w:val="pl-PL"/>
        </w:rPr>
        <w:t>obowi</w:t>
      </w:r>
      <w:r w:rsidR="00BD57E6">
        <w:rPr>
          <w:rFonts w:cs="Arial"/>
          <w:sz w:val="22"/>
          <w:szCs w:val="22"/>
          <w:lang w:val="pl-PL"/>
        </w:rPr>
        <w:t>ą</w:t>
      </w:r>
      <w:r w:rsidR="00BD57E6">
        <w:rPr>
          <w:sz w:val="22"/>
          <w:szCs w:val="22"/>
          <w:lang w:val="pl-PL"/>
        </w:rPr>
        <w:t>zuj</w:t>
      </w:r>
      <w:r w:rsidR="00BD57E6">
        <w:rPr>
          <w:rFonts w:cs="Arial"/>
          <w:sz w:val="22"/>
          <w:szCs w:val="22"/>
          <w:lang w:val="pl-PL"/>
        </w:rPr>
        <w:t>ą</w:t>
      </w:r>
      <w:r w:rsidR="00BD57E6">
        <w:rPr>
          <w:sz w:val="22"/>
          <w:szCs w:val="22"/>
          <w:lang w:val="pl-PL"/>
        </w:rPr>
        <w:t xml:space="preserve">cych </w:t>
      </w:r>
      <w:r w:rsidRPr="008602DE">
        <w:rPr>
          <w:sz w:val="22"/>
          <w:szCs w:val="22"/>
          <w:lang w:val="pl-PL"/>
        </w:rPr>
        <w:t xml:space="preserve">przepisów dotyczących zamówień </w:t>
      </w:r>
      <w:r w:rsidR="00C60FDB" w:rsidRPr="008602DE">
        <w:rPr>
          <w:sz w:val="22"/>
          <w:szCs w:val="22"/>
          <w:lang w:val="pl-PL"/>
        </w:rPr>
        <w:t>publicznych”</w:t>
      </w:r>
      <w:r w:rsidR="0084029B">
        <w:rPr>
          <w:sz w:val="22"/>
          <w:szCs w:val="22"/>
          <w:lang w:val="pl-PL"/>
        </w:rPr>
        <w:t xml:space="preserve"> z późniejszymi zmianami</w:t>
      </w:r>
      <w:r w:rsidR="00C60FDB" w:rsidRPr="008602DE">
        <w:rPr>
          <w:sz w:val="22"/>
          <w:szCs w:val="22"/>
          <w:lang w:val="pl-PL"/>
        </w:rPr>
        <w:t>.</w:t>
      </w:r>
      <w:r w:rsidR="0084029B">
        <w:rPr>
          <w:sz w:val="22"/>
          <w:szCs w:val="22"/>
          <w:lang w:val="pl-PL"/>
        </w:rPr>
        <w:t xml:space="preserve"> </w:t>
      </w:r>
    </w:p>
    <w:p w14:paraId="00B7889F" w14:textId="77777777" w:rsidR="00277B18" w:rsidRPr="008602DE" w:rsidRDefault="007069D4" w:rsidP="000B7DDC">
      <w:pPr>
        <w:pStyle w:val="Zkladntext3"/>
        <w:widowControl w:val="0"/>
        <w:numPr>
          <w:ilvl w:val="1"/>
          <w:numId w:val="11"/>
        </w:numPr>
        <w:ind w:left="567" w:hanging="573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>Za bezprawne</w:t>
      </w:r>
      <w:r w:rsidR="006349FF" w:rsidRPr="008602DE">
        <w:rPr>
          <w:sz w:val="22"/>
          <w:szCs w:val="22"/>
          <w:lang w:val="pl-PL"/>
        </w:rPr>
        <w:t xml:space="preserve"> </w:t>
      </w:r>
      <w:r w:rsidRPr="008602DE">
        <w:rPr>
          <w:sz w:val="22"/>
          <w:szCs w:val="22"/>
          <w:lang w:val="pl-PL"/>
        </w:rPr>
        <w:t>pobieranie</w:t>
      </w:r>
      <w:r w:rsidR="00277B18" w:rsidRPr="008602DE">
        <w:rPr>
          <w:sz w:val="22"/>
          <w:szCs w:val="22"/>
          <w:lang w:val="pl-PL"/>
        </w:rPr>
        <w:t xml:space="preserve"> niniejszego dofinansowania, w rozumieniu § 3, podpunkt e) ustawy nr 218/</w:t>
      </w:r>
      <w:r w:rsidRPr="008602DE">
        <w:rPr>
          <w:sz w:val="22"/>
          <w:szCs w:val="22"/>
          <w:lang w:val="pl-PL"/>
        </w:rPr>
        <w:t>2000 Dz. U. Republiki Czeskiej nie uznaje się</w:t>
      </w:r>
      <w:r w:rsidR="00277B18" w:rsidRPr="008602DE">
        <w:rPr>
          <w:sz w:val="22"/>
          <w:szCs w:val="22"/>
          <w:lang w:val="pl-PL"/>
        </w:rPr>
        <w:t>:</w:t>
      </w:r>
    </w:p>
    <w:p w14:paraId="1C00E2E0" w14:textId="1D6ADF1B" w:rsidR="00277B18" w:rsidRPr="008602DE" w:rsidRDefault="007069D4" w:rsidP="000B7DDC">
      <w:pPr>
        <w:pStyle w:val="Normlnsodrkami"/>
        <w:numPr>
          <w:ilvl w:val="0"/>
          <w:numId w:val="3"/>
        </w:numPr>
        <w:tabs>
          <w:tab w:val="clear" w:pos="720"/>
        </w:tabs>
        <w:ind w:left="1134"/>
        <w:rPr>
          <w:szCs w:val="22"/>
          <w:lang w:val="pl-PL"/>
        </w:rPr>
      </w:pPr>
      <w:r w:rsidRPr="008602DE">
        <w:rPr>
          <w:szCs w:val="22"/>
          <w:lang w:val="pl-PL"/>
        </w:rPr>
        <w:t>naruszenia</w:t>
      </w:r>
      <w:r w:rsidR="00277B18" w:rsidRPr="008602DE">
        <w:rPr>
          <w:szCs w:val="22"/>
          <w:lang w:val="pl-PL"/>
        </w:rPr>
        <w:t xml:space="preserve"> obowiązków określonych w części III, </w:t>
      </w:r>
      <w:r w:rsidR="007A2DA5" w:rsidRPr="008602DE">
        <w:rPr>
          <w:szCs w:val="22"/>
          <w:lang w:val="pl-PL"/>
        </w:rPr>
        <w:t>punkt</w:t>
      </w:r>
      <w:r w:rsidR="00277B18" w:rsidRPr="008602DE">
        <w:rPr>
          <w:szCs w:val="22"/>
          <w:lang w:val="pl-PL"/>
        </w:rPr>
        <w:t xml:space="preserve"> 3 niniejszej Decyzji;</w:t>
      </w:r>
    </w:p>
    <w:p w14:paraId="690C7E2B" w14:textId="3B585571" w:rsidR="009036FF" w:rsidRPr="008602DE" w:rsidRDefault="007069D4" w:rsidP="000B7DDC">
      <w:pPr>
        <w:pStyle w:val="Normlnsodrkami"/>
        <w:numPr>
          <w:ilvl w:val="0"/>
          <w:numId w:val="3"/>
        </w:numPr>
        <w:tabs>
          <w:tab w:val="clear" w:pos="720"/>
        </w:tabs>
        <w:ind w:left="1134"/>
        <w:rPr>
          <w:szCs w:val="22"/>
          <w:lang w:val="pl-PL"/>
        </w:rPr>
      </w:pPr>
      <w:r w:rsidRPr="008602DE">
        <w:rPr>
          <w:szCs w:val="22"/>
          <w:lang w:val="pl-PL"/>
        </w:rPr>
        <w:t>niezrealizowania</w:t>
      </w:r>
      <w:r w:rsidR="00277B18" w:rsidRPr="008602DE">
        <w:rPr>
          <w:szCs w:val="22"/>
          <w:lang w:val="pl-PL"/>
        </w:rPr>
        <w:t xml:space="preserve"> wartości docelowej wskaźników produktu o mniej niż </w:t>
      </w:r>
      <w:r w:rsidR="005A6120" w:rsidRPr="008602DE">
        <w:rPr>
          <w:szCs w:val="22"/>
          <w:lang w:val="pl-PL"/>
        </w:rPr>
        <w:t>20</w:t>
      </w:r>
      <w:r w:rsidR="00277B18" w:rsidRPr="008602DE">
        <w:rPr>
          <w:szCs w:val="22"/>
          <w:lang w:val="pl-PL"/>
        </w:rPr>
        <w:t xml:space="preserve">% w przypadku </w:t>
      </w:r>
      <w:r w:rsidR="005A6120" w:rsidRPr="008602DE">
        <w:rPr>
          <w:szCs w:val="22"/>
          <w:lang w:val="pl-PL"/>
        </w:rPr>
        <w:t xml:space="preserve">następujących </w:t>
      </w:r>
      <w:r w:rsidR="00277B18" w:rsidRPr="008602DE">
        <w:rPr>
          <w:szCs w:val="22"/>
          <w:lang w:val="pl-PL"/>
        </w:rPr>
        <w:t>wskaźnik</w:t>
      </w:r>
      <w:r w:rsidR="005A6120" w:rsidRPr="008602DE">
        <w:rPr>
          <w:szCs w:val="22"/>
          <w:lang w:val="pl-PL"/>
        </w:rPr>
        <w:t>ów</w:t>
      </w:r>
      <w:r w:rsidR="00277B18" w:rsidRPr="008602DE">
        <w:rPr>
          <w:szCs w:val="22"/>
          <w:lang w:val="pl-PL"/>
        </w:rPr>
        <w:t xml:space="preserve"> produktu</w:t>
      </w:r>
      <w:r w:rsidR="0089468D" w:rsidRPr="008602DE">
        <w:rPr>
          <w:szCs w:val="22"/>
          <w:lang w:val="pl-PL"/>
        </w:rPr>
        <w:t>:</w:t>
      </w:r>
    </w:p>
    <w:p w14:paraId="1F513850" w14:textId="2253E87A" w:rsidR="009036FF" w:rsidRPr="008602DE" w:rsidRDefault="0089468D" w:rsidP="000B7DDC">
      <w:pPr>
        <w:pStyle w:val="Zkladntext3"/>
        <w:widowControl w:val="0"/>
        <w:numPr>
          <w:ilvl w:val="1"/>
          <w:numId w:val="15"/>
        </w:numPr>
        <w:ind w:left="1843" w:hanging="455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>RC</w:t>
      </w:r>
      <w:r w:rsidR="009036FF" w:rsidRPr="008602DE">
        <w:rPr>
          <w:sz w:val="22"/>
          <w:szCs w:val="22"/>
          <w:lang w:val="pl-PL"/>
        </w:rPr>
        <w:t>O85 Udział we wspólnych programach szkoleniowych</w:t>
      </w:r>
    </w:p>
    <w:p w14:paraId="09EA1A73" w14:textId="77777777" w:rsidR="009036FF" w:rsidRPr="008602DE" w:rsidRDefault="009036FF" w:rsidP="000B7DDC">
      <w:pPr>
        <w:pStyle w:val="Zkladntext3"/>
        <w:widowControl w:val="0"/>
        <w:numPr>
          <w:ilvl w:val="1"/>
          <w:numId w:val="15"/>
        </w:numPr>
        <w:ind w:left="1843" w:hanging="455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>RCO81 Udział we wspólnych imprezach transgranicznych</w:t>
      </w:r>
    </w:p>
    <w:p w14:paraId="750568E5" w14:textId="77777777" w:rsidR="009036FF" w:rsidRPr="008602DE" w:rsidRDefault="009036FF" w:rsidP="000B7DDC">
      <w:pPr>
        <w:pStyle w:val="Zkladntext3"/>
        <w:widowControl w:val="0"/>
        <w:numPr>
          <w:ilvl w:val="1"/>
          <w:numId w:val="15"/>
        </w:numPr>
        <w:ind w:left="1843" w:hanging="455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>RCO01 Przedsiębiorstwa objęte wsparciem (w tym: mikro, małe, średnie, duże przedsiębiorstwa)</w:t>
      </w:r>
    </w:p>
    <w:p w14:paraId="6B95FF17" w14:textId="77777777" w:rsidR="00277B18" w:rsidRPr="008602DE" w:rsidRDefault="009036FF" w:rsidP="000B7DDC">
      <w:pPr>
        <w:pStyle w:val="Zkladntext3"/>
        <w:widowControl w:val="0"/>
        <w:numPr>
          <w:ilvl w:val="1"/>
          <w:numId w:val="15"/>
        </w:numPr>
        <w:ind w:left="1843" w:hanging="455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>RCO04 Przedsiębiorstwa otrzymujące wsparcie niefinansowe</w:t>
      </w:r>
    </w:p>
    <w:p w14:paraId="285A7F71" w14:textId="2E7B865D" w:rsidR="004071AD" w:rsidRPr="008602DE" w:rsidRDefault="004071AD" w:rsidP="000B7DDC">
      <w:pPr>
        <w:pStyle w:val="Normlnsodrkami"/>
        <w:numPr>
          <w:ilvl w:val="0"/>
          <w:numId w:val="3"/>
        </w:numPr>
        <w:tabs>
          <w:tab w:val="clear" w:pos="720"/>
        </w:tabs>
        <w:ind w:left="1134"/>
        <w:rPr>
          <w:szCs w:val="22"/>
          <w:lang w:val="pl-PL"/>
        </w:rPr>
      </w:pPr>
      <w:r w:rsidRPr="008602DE">
        <w:rPr>
          <w:szCs w:val="22"/>
          <w:lang w:val="pl-PL"/>
        </w:rPr>
        <w:t>nieosiągnięcie wartości docelowej wskaźnika produktu o mniej niż 1% w przypadku następujących wskaźników produktu:</w:t>
      </w:r>
    </w:p>
    <w:p w14:paraId="32D7CD05" w14:textId="167C2C5F" w:rsidR="004071AD" w:rsidRPr="008602DE" w:rsidRDefault="004071AD" w:rsidP="000B7DDC">
      <w:pPr>
        <w:pStyle w:val="Zkladntext3"/>
        <w:widowControl w:val="0"/>
        <w:numPr>
          <w:ilvl w:val="1"/>
          <w:numId w:val="15"/>
        </w:numPr>
        <w:ind w:left="1843" w:hanging="455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>RCO58 - Wspierana infrastruktura rowerowa</w:t>
      </w:r>
    </w:p>
    <w:p w14:paraId="1BE110C9" w14:textId="1B61BB3B" w:rsidR="004071AD" w:rsidRPr="008602DE" w:rsidRDefault="004071AD" w:rsidP="000B7DDC">
      <w:pPr>
        <w:pStyle w:val="Zkladntext3"/>
        <w:widowControl w:val="0"/>
        <w:numPr>
          <w:ilvl w:val="1"/>
          <w:numId w:val="15"/>
        </w:numPr>
        <w:ind w:left="1843" w:hanging="455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>762012 - Długość wybudowanych tras rowerowych, szlaków wodnych, hipodromów i szlaków turystycznych</w:t>
      </w:r>
    </w:p>
    <w:p w14:paraId="244DABF0" w14:textId="2B3F461A" w:rsidR="004071AD" w:rsidRPr="008602DE" w:rsidRDefault="004071AD" w:rsidP="000B7DDC">
      <w:pPr>
        <w:pStyle w:val="Zkladntext3"/>
        <w:widowControl w:val="0"/>
        <w:numPr>
          <w:ilvl w:val="1"/>
          <w:numId w:val="15"/>
        </w:numPr>
        <w:ind w:left="1843" w:hanging="455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>RCO46 - Długość dróg przebudowanych lub zmodernizowanych - inne</w:t>
      </w:r>
    </w:p>
    <w:p w14:paraId="746816C1" w14:textId="4EDAFE1C" w:rsidR="00277B18" w:rsidRPr="008602DE" w:rsidRDefault="004071AD" w:rsidP="000B7DDC">
      <w:pPr>
        <w:pStyle w:val="Zkladntext3"/>
        <w:widowControl w:val="0"/>
        <w:numPr>
          <w:ilvl w:val="1"/>
          <w:numId w:val="15"/>
        </w:numPr>
        <w:ind w:left="1843" w:hanging="455"/>
        <w:jc w:val="both"/>
        <w:rPr>
          <w:sz w:val="22"/>
          <w:szCs w:val="22"/>
          <w:lang w:val="pl-PL"/>
        </w:rPr>
      </w:pPr>
      <w:r w:rsidRPr="008602DE">
        <w:rPr>
          <w:sz w:val="22"/>
          <w:szCs w:val="22"/>
          <w:lang w:val="pl-PL"/>
        </w:rPr>
        <w:t>RCO50 - Długość przebudowanych lub zmodernizowanych linii kolejowych - inne</w:t>
      </w:r>
    </w:p>
    <w:p w14:paraId="583DDEA0" w14:textId="20DB1246" w:rsidR="00277B18" w:rsidRPr="008602DE" w:rsidRDefault="00277B18" w:rsidP="000B7DDC">
      <w:pPr>
        <w:jc w:val="both"/>
        <w:rPr>
          <w:lang w:val="pl-PL"/>
        </w:rPr>
      </w:pPr>
      <w:r w:rsidRPr="008602DE">
        <w:rPr>
          <w:szCs w:val="24"/>
          <w:lang w:val="pl-PL"/>
        </w:rPr>
        <w:t xml:space="preserve">Opłaty za naruszenie dyscypliny budżetowej obliczane są przez </w:t>
      </w:r>
      <w:r w:rsidR="004071AD" w:rsidRPr="008602DE">
        <w:rPr>
          <w:szCs w:val="24"/>
          <w:lang w:val="pl-PL"/>
        </w:rPr>
        <w:t>właściwy terytorialnie organ administracji skarbowej</w:t>
      </w:r>
      <w:r w:rsidRPr="008602DE">
        <w:rPr>
          <w:szCs w:val="24"/>
          <w:lang w:val="pl-PL"/>
        </w:rPr>
        <w:t xml:space="preserve"> w CZK, przy czym </w:t>
      </w:r>
      <w:r w:rsidR="004071AD" w:rsidRPr="008602DE">
        <w:rPr>
          <w:szCs w:val="24"/>
          <w:lang w:val="pl-PL"/>
        </w:rPr>
        <w:t xml:space="preserve">przeliczenie </w:t>
      </w:r>
      <w:r w:rsidRPr="008602DE">
        <w:rPr>
          <w:szCs w:val="24"/>
          <w:lang w:val="pl-PL"/>
        </w:rPr>
        <w:t>kwoty, która ma zostać odprowadzona, z EUR na CZK, przeprowadz</w:t>
      </w:r>
      <w:r w:rsidR="004071AD" w:rsidRPr="008602DE">
        <w:rPr>
          <w:szCs w:val="24"/>
          <w:lang w:val="pl-PL"/>
        </w:rPr>
        <w:t>one</w:t>
      </w:r>
      <w:r w:rsidRPr="008602DE">
        <w:rPr>
          <w:szCs w:val="24"/>
          <w:lang w:val="pl-PL"/>
        </w:rPr>
        <w:t xml:space="preserve"> będzie zgodnie z </w:t>
      </w:r>
      <w:r w:rsidR="004071AD" w:rsidRPr="008602DE">
        <w:rPr>
          <w:szCs w:val="24"/>
          <w:lang w:val="pl-PL"/>
        </w:rPr>
        <w:t xml:space="preserve">zapisami </w:t>
      </w:r>
      <w:r w:rsidRPr="008602DE">
        <w:rPr>
          <w:szCs w:val="24"/>
          <w:lang w:val="pl-PL"/>
        </w:rPr>
        <w:t xml:space="preserve">Podręcznika </w:t>
      </w:r>
      <w:r w:rsidR="004071AD" w:rsidRPr="008602DE">
        <w:rPr>
          <w:szCs w:val="24"/>
          <w:lang w:val="pl-PL"/>
        </w:rPr>
        <w:t>B</w:t>
      </w:r>
      <w:r w:rsidRPr="008602DE">
        <w:rPr>
          <w:szCs w:val="24"/>
          <w:lang w:val="pl-PL"/>
        </w:rPr>
        <w:t>eneficjenta</w:t>
      </w:r>
      <w:r w:rsidR="004071AD" w:rsidRPr="008602DE">
        <w:rPr>
          <w:szCs w:val="24"/>
          <w:lang w:val="pl-PL"/>
        </w:rPr>
        <w:t xml:space="preserve"> </w:t>
      </w:r>
      <w:r w:rsidRPr="008602DE">
        <w:rPr>
          <w:szCs w:val="24"/>
          <w:lang w:val="pl-PL"/>
        </w:rPr>
        <w:t>w wersji obowiązującej w okresie wydania decyzji o koniecz</w:t>
      </w:r>
      <w:r w:rsidR="007069D4" w:rsidRPr="008602DE">
        <w:rPr>
          <w:szCs w:val="24"/>
          <w:lang w:val="pl-PL"/>
        </w:rPr>
        <w:t>n</w:t>
      </w:r>
      <w:r w:rsidRPr="008602DE">
        <w:rPr>
          <w:szCs w:val="24"/>
          <w:lang w:val="pl-PL"/>
        </w:rPr>
        <w:t xml:space="preserve">ości uiszczenia opłaty za naruszenie dyscypliny budżetowej. </w:t>
      </w:r>
    </w:p>
    <w:p w14:paraId="58928B59" w14:textId="77777777" w:rsidR="00277B18" w:rsidRPr="008602DE" w:rsidRDefault="00277B18" w:rsidP="002B7FA0">
      <w:pPr>
        <w:pStyle w:val="Nadpis2"/>
        <w:numPr>
          <w:ilvl w:val="1"/>
          <w:numId w:val="19"/>
        </w:numPr>
      </w:pPr>
      <w:proofErr w:type="spellStart"/>
      <w:r w:rsidRPr="008602DE">
        <w:t>Niewypłacenie</w:t>
      </w:r>
      <w:proofErr w:type="spellEnd"/>
      <w:r w:rsidRPr="008602DE">
        <w:t xml:space="preserve"> </w:t>
      </w:r>
      <w:proofErr w:type="spellStart"/>
      <w:r w:rsidRPr="008602DE">
        <w:t>dofinansowania</w:t>
      </w:r>
      <w:proofErr w:type="spellEnd"/>
      <w:r w:rsidRPr="008602DE">
        <w:t xml:space="preserve"> lub </w:t>
      </w:r>
      <w:proofErr w:type="spellStart"/>
      <w:r w:rsidRPr="008602DE">
        <w:t>jego</w:t>
      </w:r>
      <w:proofErr w:type="spellEnd"/>
      <w:r w:rsidRPr="008602DE">
        <w:t xml:space="preserve"> </w:t>
      </w:r>
      <w:proofErr w:type="spellStart"/>
      <w:r w:rsidRPr="008602DE">
        <w:t>części</w:t>
      </w:r>
      <w:proofErr w:type="spellEnd"/>
    </w:p>
    <w:p w14:paraId="08F8AC67" w14:textId="0EAF53D9" w:rsidR="00277B18" w:rsidRPr="008602DE" w:rsidRDefault="00277B18" w:rsidP="00792BB8">
      <w:pPr>
        <w:pStyle w:val="l3"/>
        <w:widowControl w:val="0"/>
        <w:numPr>
          <w:ilvl w:val="0"/>
          <w:numId w:val="0"/>
        </w:numPr>
        <w:rPr>
          <w:szCs w:val="22"/>
          <w:lang w:val="pl-PL"/>
        </w:rPr>
      </w:pPr>
      <w:r w:rsidRPr="008602DE">
        <w:rPr>
          <w:lang w:val="pl-PL"/>
        </w:rPr>
        <w:t xml:space="preserve">Jeżeli </w:t>
      </w:r>
      <w:r w:rsidR="00057B02" w:rsidRPr="008602DE">
        <w:rPr>
          <w:lang w:val="pl-PL"/>
        </w:rPr>
        <w:t>Główny B</w:t>
      </w:r>
      <w:r w:rsidRPr="008602DE">
        <w:rPr>
          <w:lang w:val="pl-PL"/>
        </w:rPr>
        <w:t>eneficjent nie spełnił lub nie spełnia któregoś z warunków określonych w niniejszej Decyzji lub któregoś z obowiązków określonych przez przepisy prawa, nie ma przy tym do czynienia z naruszeniem dyscypliny budżetowej w rozumieniu § 44 ust. 1, podpunkt b) ustawy nr 218/2000 Dz. U. Rep</w:t>
      </w:r>
      <w:r w:rsidR="004071AD" w:rsidRPr="008602DE">
        <w:rPr>
          <w:lang w:val="pl-PL"/>
        </w:rPr>
        <w:t>ubliki</w:t>
      </w:r>
      <w:r w:rsidRPr="008602DE">
        <w:rPr>
          <w:lang w:val="pl-PL"/>
        </w:rPr>
        <w:t xml:space="preserve"> Czeskiej, podmiot </w:t>
      </w:r>
      <w:r w:rsidR="00F005D9" w:rsidRPr="008602DE">
        <w:rPr>
          <w:lang w:val="pl-PL"/>
        </w:rPr>
        <w:t>udzielając</w:t>
      </w:r>
      <w:r w:rsidRPr="008602DE">
        <w:rPr>
          <w:lang w:val="pl-PL"/>
        </w:rPr>
        <w:t>y dofinansowani</w:t>
      </w:r>
      <w:r w:rsidR="00F005D9" w:rsidRPr="008602DE">
        <w:rPr>
          <w:lang w:val="pl-PL"/>
        </w:rPr>
        <w:t>a</w:t>
      </w:r>
      <w:r w:rsidRPr="008602DE">
        <w:rPr>
          <w:lang w:val="pl-PL"/>
        </w:rPr>
        <w:t xml:space="preserve"> podejmuje decyzję o niewypłaceniu dofinansowania lub jego części, zgodnie z § 14e ustawy nr 218/2000 Dz. U. Republiki Czeskiej</w:t>
      </w:r>
      <w:r w:rsidR="006349FF" w:rsidRPr="008602DE">
        <w:rPr>
          <w:lang w:val="pl-PL"/>
        </w:rPr>
        <w:t>.</w:t>
      </w:r>
      <w:r w:rsidRPr="008602DE">
        <w:rPr>
          <w:lang w:val="pl-PL"/>
        </w:rPr>
        <w:t xml:space="preserve"> Niewypłacenie do</w:t>
      </w:r>
      <w:r w:rsidR="007069D4" w:rsidRPr="008602DE">
        <w:rPr>
          <w:lang w:val="pl-PL"/>
        </w:rPr>
        <w:t>finansowania lub jego części ob</w:t>
      </w:r>
      <w:r w:rsidRPr="008602DE">
        <w:rPr>
          <w:lang w:val="pl-PL"/>
        </w:rPr>
        <w:t>e</w:t>
      </w:r>
      <w:r w:rsidR="007069D4" w:rsidRPr="008602DE">
        <w:rPr>
          <w:lang w:val="pl-PL"/>
        </w:rPr>
        <w:t>j</w:t>
      </w:r>
      <w:r w:rsidRPr="008602DE">
        <w:rPr>
          <w:lang w:val="pl-PL"/>
        </w:rPr>
        <w:t xml:space="preserve">mować będzie kwotę obniżonych opłat, zgodnie z częścią IV, </w:t>
      </w:r>
      <w:r w:rsidR="007A2DA5" w:rsidRPr="008602DE">
        <w:rPr>
          <w:lang w:val="pl-PL"/>
        </w:rPr>
        <w:t>punkt</w:t>
      </w:r>
      <w:r w:rsidRPr="008602DE">
        <w:rPr>
          <w:lang w:val="pl-PL"/>
        </w:rPr>
        <w:t xml:space="preserve"> 2 niniejszej Decyzji.</w:t>
      </w:r>
    </w:p>
    <w:p w14:paraId="46FAA171" w14:textId="58A88FBB" w:rsidR="00277B18" w:rsidRPr="008602DE" w:rsidRDefault="006349FF" w:rsidP="00792BB8">
      <w:pPr>
        <w:pStyle w:val="l3"/>
        <w:widowControl w:val="0"/>
        <w:numPr>
          <w:ilvl w:val="0"/>
          <w:numId w:val="0"/>
        </w:numPr>
        <w:rPr>
          <w:szCs w:val="22"/>
          <w:lang w:val="pl-PL"/>
        </w:rPr>
      </w:pPr>
      <w:r w:rsidRPr="008602DE">
        <w:rPr>
          <w:lang w:val="pl-PL"/>
        </w:rPr>
        <w:t xml:space="preserve">W przypadku naruszenia obowiązków określonych w części II </w:t>
      </w:r>
      <w:r w:rsidR="007A2DA5" w:rsidRPr="008602DE">
        <w:rPr>
          <w:lang w:val="pl-PL"/>
        </w:rPr>
        <w:t>punkt</w:t>
      </w:r>
      <w:r w:rsidRPr="008602DE">
        <w:rPr>
          <w:lang w:val="pl-PL"/>
        </w:rPr>
        <w:t xml:space="preserve"> 8.1 niniejszej Decyzji, w przypadku zamówień publicznych udzielanych przez partnera polskiego, niewypłacenie dofinansowania lub jego części realizowane jest zgodnie z</w:t>
      </w:r>
      <w:r w:rsidR="003C4BE4">
        <w:rPr>
          <w:lang w:val="pl-PL"/>
        </w:rPr>
        <w:t>e stawkami określonymi w</w:t>
      </w:r>
      <w:r w:rsidR="002C2DD4" w:rsidRPr="008602DE">
        <w:rPr>
          <w:lang w:val="pl-PL"/>
        </w:rPr>
        <w:t>Decyzj</w:t>
      </w:r>
      <w:r w:rsidR="003C4BE4">
        <w:rPr>
          <w:lang w:val="pl-PL"/>
        </w:rPr>
        <w:t>i</w:t>
      </w:r>
      <w:r w:rsidR="002C2DD4" w:rsidRPr="008602DE">
        <w:rPr>
          <w:lang w:val="pl-PL"/>
        </w:rPr>
        <w:t xml:space="preserve"> Komisji </w:t>
      </w:r>
      <w:bookmarkStart w:id="36" w:name="_Hlk121175719"/>
      <w:r w:rsidR="002C2DD4" w:rsidRPr="008602DE">
        <w:rPr>
          <w:lang w:val="pl-PL"/>
        </w:rPr>
        <w:t xml:space="preserve">C(2019)3452 </w:t>
      </w:r>
      <w:bookmarkEnd w:id="36"/>
      <w:r w:rsidR="002C2DD4" w:rsidRPr="008602DE">
        <w:rPr>
          <w:lang w:val="pl-PL"/>
        </w:rPr>
        <w:t xml:space="preserve">z dnia 14.05.2019 r. </w:t>
      </w:r>
      <w:r w:rsidR="00487A26">
        <w:rPr>
          <w:lang w:val="pl-PL"/>
        </w:rPr>
        <w:t>ustanawiając</w:t>
      </w:r>
      <w:r w:rsidR="00D26096">
        <w:rPr>
          <w:lang w:val="pl-PL"/>
        </w:rPr>
        <w:t>ej</w:t>
      </w:r>
      <w:r w:rsidR="00487A26" w:rsidRPr="008602DE">
        <w:rPr>
          <w:lang w:val="pl-PL"/>
        </w:rPr>
        <w:t xml:space="preserve"> </w:t>
      </w:r>
      <w:r w:rsidR="002C2DD4" w:rsidRPr="008602DE">
        <w:rPr>
          <w:lang w:val="pl-PL"/>
        </w:rPr>
        <w:t xml:space="preserve">wytyczne dotyczące określania </w:t>
      </w:r>
      <w:r w:rsidR="002C2DD4" w:rsidRPr="008602DE">
        <w:rPr>
          <w:lang w:val="pl-PL"/>
        </w:rPr>
        <w:lastRenderedPageBreak/>
        <w:t xml:space="preserve">korekt finansowych </w:t>
      </w:r>
      <w:r w:rsidR="00EA66F6">
        <w:rPr>
          <w:lang w:val="pl-PL"/>
        </w:rPr>
        <w:t xml:space="preserve">w odniesieniu do </w:t>
      </w:r>
      <w:r w:rsidR="002C2DD4" w:rsidRPr="008602DE">
        <w:rPr>
          <w:lang w:val="pl-PL"/>
        </w:rPr>
        <w:t xml:space="preserve">wydatków finansowanych przez Unię w przypadku nieprzestrzegania </w:t>
      </w:r>
      <w:r w:rsidR="00EA66F6">
        <w:rPr>
          <w:lang w:val="pl-PL"/>
        </w:rPr>
        <w:t>obowi</w:t>
      </w:r>
      <w:r w:rsidR="00EA66F6">
        <w:rPr>
          <w:rFonts w:cs="Arial"/>
          <w:lang w:val="pl-PL"/>
        </w:rPr>
        <w:t xml:space="preserve">ązujących </w:t>
      </w:r>
      <w:r w:rsidR="002C2DD4" w:rsidRPr="008602DE">
        <w:rPr>
          <w:lang w:val="pl-PL"/>
        </w:rPr>
        <w:t>przepisów dotyczących zamówień publicznych</w:t>
      </w:r>
      <w:r w:rsidR="00CF0A97">
        <w:rPr>
          <w:lang w:val="pl-PL"/>
        </w:rPr>
        <w:t xml:space="preserve"> z późniejszymi zmianami</w:t>
      </w:r>
      <w:r w:rsidR="002C2DD4" w:rsidRPr="008602DE">
        <w:rPr>
          <w:lang w:val="pl-PL"/>
        </w:rPr>
        <w:t>.</w:t>
      </w:r>
    </w:p>
    <w:p w14:paraId="18104478" w14:textId="22CC028A" w:rsidR="00277B18" w:rsidRPr="008602DE" w:rsidRDefault="00277B18" w:rsidP="002B7FA0">
      <w:pPr>
        <w:pStyle w:val="Nadpis2"/>
        <w:numPr>
          <w:ilvl w:val="1"/>
          <w:numId w:val="19"/>
        </w:numPr>
      </w:pPr>
      <w:proofErr w:type="spellStart"/>
      <w:r w:rsidRPr="008602DE">
        <w:t>Naruszenie</w:t>
      </w:r>
      <w:proofErr w:type="spellEnd"/>
      <w:r w:rsidRPr="008602DE">
        <w:t xml:space="preserve"> </w:t>
      </w:r>
      <w:proofErr w:type="spellStart"/>
      <w:r w:rsidRPr="008602DE">
        <w:t>postanowień</w:t>
      </w:r>
      <w:proofErr w:type="spellEnd"/>
      <w:r w:rsidRPr="008602DE">
        <w:t xml:space="preserve"> </w:t>
      </w:r>
      <w:proofErr w:type="spellStart"/>
      <w:r w:rsidRPr="008602DE">
        <w:t>Decyzji</w:t>
      </w:r>
      <w:proofErr w:type="spellEnd"/>
      <w:r w:rsidRPr="008602DE">
        <w:t xml:space="preserve"> </w:t>
      </w:r>
      <w:proofErr w:type="spellStart"/>
      <w:r w:rsidRPr="008602DE">
        <w:t>przez</w:t>
      </w:r>
      <w:proofErr w:type="spellEnd"/>
      <w:r w:rsidRPr="008602DE">
        <w:t xml:space="preserve"> partnera </w:t>
      </w:r>
    </w:p>
    <w:p w14:paraId="431F6FF5" w14:textId="60B01B0A" w:rsidR="00277B18" w:rsidRPr="008602DE" w:rsidRDefault="00277B18" w:rsidP="000B7DDC">
      <w:pPr>
        <w:numPr>
          <w:ilvl w:val="0"/>
          <w:numId w:val="14"/>
        </w:numPr>
        <w:ind w:left="567" w:hanging="567"/>
        <w:jc w:val="both"/>
        <w:rPr>
          <w:lang w:val="pl-PL"/>
        </w:rPr>
      </w:pPr>
      <w:r w:rsidRPr="008602DE">
        <w:rPr>
          <w:szCs w:val="24"/>
          <w:lang w:val="pl-PL"/>
        </w:rPr>
        <w:t>Jeżeli dojdzie do naruszenia postanowień niniejszej Decyzji w konsekwencji zaniedbania obowiązków przez partnera, zdefiniowanego w</w:t>
      </w:r>
      <w:r w:rsidR="009036FF" w:rsidRPr="008602DE">
        <w:rPr>
          <w:szCs w:val="24"/>
          <w:lang w:val="pl-PL"/>
        </w:rPr>
        <w:t>e</w:t>
      </w:r>
      <w:r w:rsidRPr="008602DE">
        <w:rPr>
          <w:szCs w:val="24"/>
          <w:lang w:val="pl-PL"/>
        </w:rPr>
        <w:t xml:space="preserve"> </w:t>
      </w:r>
      <w:r w:rsidR="009036FF" w:rsidRPr="008602DE">
        <w:rPr>
          <w:szCs w:val="24"/>
          <w:lang w:val="pl-PL"/>
        </w:rPr>
        <w:t xml:space="preserve">wniosku </w:t>
      </w:r>
      <w:r w:rsidR="0020307B" w:rsidRPr="008602DE">
        <w:rPr>
          <w:szCs w:val="24"/>
          <w:lang w:val="pl-PL"/>
        </w:rPr>
        <w:t>o dofinansowanie</w:t>
      </w:r>
      <w:r w:rsidRPr="008602DE">
        <w:rPr>
          <w:szCs w:val="24"/>
          <w:lang w:val="pl-PL"/>
        </w:rPr>
        <w:t>, nie ma do czynienia z naruszeniem dyscypliny budżetowej w rozumieniu § 44, ust. 1, podpunkt b) ustawy nr 218/2000 Dz. U. Rep</w:t>
      </w:r>
      <w:r w:rsidR="0020307B" w:rsidRPr="008602DE">
        <w:rPr>
          <w:szCs w:val="24"/>
          <w:lang w:val="pl-PL"/>
        </w:rPr>
        <w:t>ubliki</w:t>
      </w:r>
      <w:r w:rsidRPr="008602DE">
        <w:rPr>
          <w:szCs w:val="24"/>
          <w:lang w:val="pl-PL"/>
        </w:rPr>
        <w:t xml:space="preserve"> Czeskiej, o przepisach budżetowych, zgodnie z późniejszymi zmianami. </w:t>
      </w:r>
    </w:p>
    <w:p w14:paraId="2816E4F8" w14:textId="5C87E7F9" w:rsidR="00277B18" w:rsidRPr="008602DE" w:rsidRDefault="00277B18" w:rsidP="000B7DDC">
      <w:pPr>
        <w:numPr>
          <w:ilvl w:val="0"/>
          <w:numId w:val="14"/>
        </w:numPr>
        <w:ind w:left="567" w:hanging="567"/>
        <w:jc w:val="both"/>
        <w:rPr>
          <w:lang w:val="pl-PL"/>
        </w:rPr>
      </w:pPr>
      <w:r w:rsidRPr="008602DE">
        <w:rPr>
          <w:szCs w:val="24"/>
          <w:lang w:val="pl-PL"/>
        </w:rPr>
        <w:t xml:space="preserve">Jeżeli w rezultacie takiego naruszenia postanowień niniejszej Decyzji dojdzie do bezprawnego </w:t>
      </w:r>
      <w:r w:rsidR="00BE518D" w:rsidRPr="008602DE">
        <w:rPr>
          <w:szCs w:val="24"/>
          <w:lang w:val="pl-PL"/>
        </w:rPr>
        <w:t>pobierania</w:t>
      </w:r>
      <w:r w:rsidRPr="008602DE">
        <w:rPr>
          <w:szCs w:val="24"/>
          <w:lang w:val="pl-PL"/>
        </w:rPr>
        <w:t xml:space="preserve"> środków dofinansowania, </w:t>
      </w:r>
      <w:r w:rsidR="00057B02" w:rsidRPr="008602DE">
        <w:rPr>
          <w:szCs w:val="24"/>
          <w:lang w:val="pl-PL"/>
        </w:rPr>
        <w:t>Główny B</w:t>
      </w:r>
      <w:r w:rsidRPr="008602DE">
        <w:rPr>
          <w:szCs w:val="24"/>
          <w:lang w:val="pl-PL"/>
        </w:rPr>
        <w:t xml:space="preserve">eneficjent ma obowiązek wezwania danego partnera za pośrednictwem listu poleconego do zwrotu bezprawnie pobieranych środków dofinansowania na </w:t>
      </w:r>
      <w:r w:rsidR="00057B02" w:rsidRPr="008602DE">
        <w:rPr>
          <w:szCs w:val="24"/>
          <w:lang w:val="pl-PL"/>
        </w:rPr>
        <w:t>rachunek bankowy</w:t>
      </w:r>
      <w:r w:rsidRPr="008602DE">
        <w:rPr>
          <w:szCs w:val="24"/>
          <w:lang w:val="pl-PL"/>
        </w:rPr>
        <w:t xml:space="preserve"> </w:t>
      </w:r>
      <w:r w:rsidR="00057B02" w:rsidRPr="008602DE">
        <w:rPr>
          <w:szCs w:val="24"/>
          <w:lang w:val="pl-PL"/>
        </w:rPr>
        <w:t>Głównego B</w:t>
      </w:r>
      <w:r w:rsidRPr="008602DE">
        <w:rPr>
          <w:szCs w:val="24"/>
          <w:lang w:val="pl-PL"/>
        </w:rPr>
        <w:t>eneficjenta. Wezwanie to należy przesłać najpóźniej do 14 dni kalendarzowych od momentu doręczenia</w:t>
      </w:r>
      <w:r w:rsidRPr="008602DE">
        <w:rPr>
          <w:vertAlign w:val="superscript"/>
          <w:lang w:val="pl-PL"/>
        </w:rPr>
        <w:footnoteReference w:id="22"/>
      </w:r>
      <w:r w:rsidRPr="008602DE">
        <w:rPr>
          <w:szCs w:val="24"/>
          <w:lang w:val="pl-PL"/>
        </w:rPr>
        <w:t xml:space="preserve"> wezwania do zwrotu środków, przesłanego do beneficjenta przez podmiot </w:t>
      </w:r>
      <w:r w:rsidR="00F005D9" w:rsidRPr="008602DE">
        <w:rPr>
          <w:szCs w:val="24"/>
          <w:lang w:val="pl-PL"/>
        </w:rPr>
        <w:t>udzielając</w:t>
      </w:r>
      <w:r w:rsidRPr="008602DE">
        <w:rPr>
          <w:szCs w:val="24"/>
          <w:lang w:val="pl-PL"/>
        </w:rPr>
        <w:t>y dofinansowani</w:t>
      </w:r>
      <w:r w:rsidR="00F005D9" w:rsidRPr="008602DE">
        <w:rPr>
          <w:szCs w:val="24"/>
          <w:lang w:val="pl-PL"/>
        </w:rPr>
        <w:t>a</w:t>
      </w:r>
      <w:r w:rsidRPr="008602DE">
        <w:rPr>
          <w:szCs w:val="24"/>
          <w:lang w:val="pl-PL"/>
        </w:rPr>
        <w:t xml:space="preserve">. </w:t>
      </w:r>
      <w:r w:rsidR="00057B02" w:rsidRPr="008602DE">
        <w:rPr>
          <w:szCs w:val="24"/>
          <w:lang w:val="pl-PL"/>
        </w:rPr>
        <w:t xml:space="preserve">Główny </w:t>
      </w:r>
      <w:r w:rsidRPr="008602DE">
        <w:rPr>
          <w:szCs w:val="24"/>
          <w:lang w:val="pl-PL"/>
        </w:rPr>
        <w:t xml:space="preserve">Beneficjent ustala w wezwaniu termin zwrotu bezprawnie pobranych środków dofinansowania, tj. 30 dni kalendarzowych od momentu przesłania wezwania do partnera. </w:t>
      </w:r>
      <w:r w:rsidR="00057B02" w:rsidRPr="008602DE">
        <w:rPr>
          <w:szCs w:val="24"/>
          <w:lang w:val="pl-PL"/>
        </w:rPr>
        <w:t xml:space="preserve">Główny </w:t>
      </w:r>
      <w:r w:rsidRPr="008602DE">
        <w:rPr>
          <w:szCs w:val="24"/>
          <w:lang w:val="pl-PL"/>
        </w:rPr>
        <w:t>Beneficjent ma obowiązek prze</w:t>
      </w:r>
      <w:r w:rsidR="00057B02" w:rsidRPr="008602DE">
        <w:rPr>
          <w:szCs w:val="24"/>
          <w:lang w:val="pl-PL"/>
        </w:rPr>
        <w:t>kazania</w:t>
      </w:r>
      <w:r w:rsidRPr="008602DE">
        <w:rPr>
          <w:szCs w:val="24"/>
          <w:lang w:val="pl-PL"/>
        </w:rPr>
        <w:t xml:space="preserve"> bezprawnie </w:t>
      </w:r>
      <w:r w:rsidR="005147CE" w:rsidRPr="008602DE">
        <w:rPr>
          <w:szCs w:val="24"/>
          <w:lang w:val="pl-PL"/>
        </w:rPr>
        <w:t>pobieranych środków dofinansowa</w:t>
      </w:r>
      <w:r w:rsidRPr="008602DE">
        <w:rPr>
          <w:szCs w:val="24"/>
          <w:lang w:val="pl-PL"/>
        </w:rPr>
        <w:t>n</w:t>
      </w:r>
      <w:r w:rsidR="005147CE" w:rsidRPr="008602DE">
        <w:rPr>
          <w:szCs w:val="24"/>
          <w:lang w:val="pl-PL"/>
        </w:rPr>
        <w:t>i</w:t>
      </w:r>
      <w:r w:rsidRPr="008602DE">
        <w:rPr>
          <w:szCs w:val="24"/>
          <w:lang w:val="pl-PL"/>
        </w:rPr>
        <w:t xml:space="preserve">a </w:t>
      </w:r>
      <w:r w:rsidR="005147CE" w:rsidRPr="008602DE">
        <w:rPr>
          <w:szCs w:val="24"/>
          <w:lang w:val="pl-PL"/>
        </w:rPr>
        <w:t xml:space="preserve">na </w:t>
      </w:r>
      <w:r w:rsidR="00856CED" w:rsidRPr="008602DE">
        <w:rPr>
          <w:szCs w:val="24"/>
          <w:lang w:val="pl-PL"/>
        </w:rPr>
        <w:t xml:space="preserve"> rachunek</w:t>
      </w:r>
      <w:r w:rsidRPr="008602DE">
        <w:rPr>
          <w:szCs w:val="24"/>
          <w:lang w:val="pl-PL"/>
        </w:rPr>
        <w:t xml:space="preserve"> </w:t>
      </w:r>
      <w:r w:rsidR="00531562" w:rsidRPr="008602DE">
        <w:rPr>
          <w:szCs w:val="24"/>
          <w:lang w:val="pl-PL"/>
        </w:rPr>
        <w:t>wskazany przez udzielającego dofinansowania</w:t>
      </w:r>
      <w:r w:rsidRPr="008602DE">
        <w:rPr>
          <w:szCs w:val="24"/>
          <w:lang w:val="pl-PL"/>
        </w:rPr>
        <w:t xml:space="preserve">, najpóźniej do 14 dni kalendarzowych od momentu zwrotu środków przez </w:t>
      </w:r>
      <w:r w:rsidR="0020307B" w:rsidRPr="008602DE">
        <w:rPr>
          <w:szCs w:val="24"/>
          <w:lang w:val="pl-PL"/>
        </w:rPr>
        <w:t xml:space="preserve">danego </w:t>
      </w:r>
      <w:r w:rsidRPr="008602DE">
        <w:rPr>
          <w:szCs w:val="24"/>
          <w:lang w:val="pl-PL"/>
        </w:rPr>
        <w:t xml:space="preserve">partnera i zaksięgowania ich na </w:t>
      </w:r>
      <w:r w:rsidR="0020307B" w:rsidRPr="008602DE">
        <w:rPr>
          <w:szCs w:val="24"/>
          <w:lang w:val="pl-PL"/>
        </w:rPr>
        <w:t xml:space="preserve">rachunku </w:t>
      </w:r>
      <w:r w:rsidRPr="008602DE">
        <w:rPr>
          <w:szCs w:val="24"/>
          <w:lang w:val="pl-PL"/>
        </w:rPr>
        <w:t xml:space="preserve">bankowym </w:t>
      </w:r>
      <w:r w:rsidR="009036FF" w:rsidRPr="008602DE">
        <w:rPr>
          <w:szCs w:val="24"/>
          <w:lang w:val="pl-PL"/>
        </w:rPr>
        <w:t xml:space="preserve">Głównego </w:t>
      </w:r>
      <w:r w:rsidR="0020307B" w:rsidRPr="008602DE">
        <w:rPr>
          <w:szCs w:val="24"/>
          <w:lang w:val="pl-PL"/>
        </w:rPr>
        <w:t>B</w:t>
      </w:r>
      <w:r w:rsidRPr="008602DE">
        <w:rPr>
          <w:szCs w:val="24"/>
          <w:lang w:val="pl-PL"/>
        </w:rPr>
        <w:t xml:space="preserve">eneficjenta. </w:t>
      </w:r>
    </w:p>
    <w:p w14:paraId="115AC534" w14:textId="24264471" w:rsidR="00277B18" w:rsidRPr="008602DE" w:rsidRDefault="00277B18" w:rsidP="000B7DDC">
      <w:pPr>
        <w:numPr>
          <w:ilvl w:val="0"/>
          <w:numId w:val="14"/>
        </w:numPr>
        <w:ind w:left="567" w:hanging="567"/>
        <w:jc w:val="both"/>
        <w:rPr>
          <w:lang w:val="pl-PL"/>
        </w:rPr>
      </w:pPr>
      <w:r w:rsidRPr="008602DE">
        <w:rPr>
          <w:szCs w:val="24"/>
          <w:lang w:val="pl-PL"/>
        </w:rPr>
        <w:t>Jeżeli w ustalonym terminie</w:t>
      </w:r>
      <w:r w:rsidR="0020307B" w:rsidRPr="008602DE">
        <w:rPr>
          <w:szCs w:val="24"/>
          <w:lang w:val="pl-PL"/>
        </w:rPr>
        <w:t xml:space="preserve"> dany</w:t>
      </w:r>
      <w:r w:rsidRPr="008602DE">
        <w:rPr>
          <w:szCs w:val="24"/>
          <w:lang w:val="pl-PL"/>
        </w:rPr>
        <w:t xml:space="preserve"> partner nie zwróci </w:t>
      </w:r>
      <w:r w:rsidR="005147CE" w:rsidRPr="008602DE">
        <w:rPr>
          <w:szCs w:val="24"/>
          <w:lang w:val="pl-PL"/>
        </w:rPr>
        <w:t>środków dofinansowania w odpowiedzi</w:t>
      </w:r>
      <w:r w:rsidRPr="008602DE">
        <w:rPr>
          <w:szCs w:val="24"/>
          <w:lang w:val="pl-PL"/>
        </w:rPr>
        <w:t xml:space="preserve"> o wezwanie </w:t>
      </w:r>
      <w:r w:rsidR="00057B02" w:rsidRPr="008602DE">
        <w:rPr>
          <w:szCs w:val="24"/>
          <w:lang w:val="pl-PL"/>
        </w:rPr>
        <w:t>Głównego B</w:t>
      </w:r>
      <w:r w:rsidRPr="008602DE">
        <w:rPr>
          <w:szCs w:val="24"/>
          <w:lang w:val="pl-PL"/>
        </w:rPr>
        <w:t>eneficjenta</w:t>
      </w:r>
      <w:r w:rsidR="005147CE" w:rsidRPr="008602DE">
        <w:rPr>
          <w:szCs w:val="24"/>
          <w:lang w:val="pl-PL"/>
        </w:rPr>
        <w:t xml:space="preserve">, </w:t>
      </w:r>
      <w:r w:rsidR="00057B02" w:rsidRPr="008602DE">
        <w:rPr>
          <w:szCs w:val="24"/>
          <w:lang w:val="pl-PL"/>
        </w:rPr>
        <w:t>Główny B</w:t>
      </w:r>
      <w:r w:rsidR="005147CE" w:rsidRPr="008602DE">
        <w:rPr>
          <w:szCs w:val="24"/>
          <w:lang w:val="pl-PL"/>
        </w:rPr>
        <w:t>eneficjent</w:t>
      </w:r>
      <w:r w:rsidRPr="008602DE">
        <w:rPr>
          <w:szCs w:val="24"/>
          <w:lang w:val="pl-PL"/>
        </w:rPr>
        <w:t xml:space="preserve"> w ciągu 14 dni kalendarzowych od momentu upłynięcia pierwszego okresu prześle do partnera drugie wezwanie do zapłaty, które przes</w:t>
      </w:r>
      <w:r w:rsidR="005147CE" w:rsidRPr="008602DE">
        <w:rPr>
          <w:szCs w:val="24"/>
          <w:lang w:val="pl-PL"/>
        </w:rPr>
        <w:t>łane zostanie w ten sam sposób</w:t>
      </w:r>
      <w:r w:rsidRPr="008602DE">
        <w:rPr>
          <w:szCs w:val="24"/>
          <w:lang w:val="pl-PL"/>
        </w:rPr>
        <w:t xml:space="preserve"> i będzie mieć te same ramy formalne. Jeżeli partner projektu nawet po drugim wezwaniu do zapłaty nie zwróci w określonym terminie środków dofinansowania na </w:t>
      </w:r>
      <w:r w:rsidR="00057B02" w:rsidRPr="008602DE">
        <w:rPr>
          <w:szCs w:val="24"/>
          <w:lang w:val="pl-PL"/>
        </w:rPr>
        <w:t>rachunek bankowy Głównego</w:t>
      </w:r>
      <w:r w:rsidRPr="008602DE">
        <w:rPr>
          <w:szCs w:val="24"/>
          <w:lang w:val="pl-PL"/>
        </w:rPr>
        <w:t xml:space="preserve"> </w:t>
      </w:r>
      <w:r w:rsidR="00057B02" w:rsidRPr="008602DE">
        <w:rPr>
          <w:szCs w:val="24"/>
          <w:lang w:val="pl-PL"/>
        </w:rPr>
        <w:t>B</w:t>
      </w:r>
      <w:r w:rsidRPr="008602DE">
        <w:rPr>
          <w:szCs w:val="24"/>
          <w:lang w:val="pl-PL"/>
        </w:rPr>
        <w:t xml:space="preserve">eneficjenta, </w:t>
      </w:r>
      <w:r w:rsidR="009036FF" w:rsidRPr="008602DE">
        <w:rPr>
          <w:szCs w:val="24"/>
          <w:lang w:val="pl-PL"/>
        </w:rPr>
        <w:t xml:space="preserve">Główny </w:t>
      </w:r>
      <w:r w:rsidRPr="008602DE">
        <w:rPr>
          <w:szCs w:val="24"/>
          <w:lang w:val="pl-PL"/>
        </w:rPr>
        <w:t xml:space="preserve">beneficjent w formie pisemnej poinformuje o tym fakcie podmiot </w:t>
      </w:r>
      <w:r w:rsidR="00F005D9" w:rsidRPr="008602DE">
        <w:rPr>
          <w:szCs w:val="24"/>
          <w:lang w:val="pl-PL"/>
        </w:rPr>
        <w:t>udzielając</w:t>
      </w:r>
      <w:r w:rsidRPr="008602DE">
        <w:rPr>
          <w:szCs w:val="24"/>
          <w:lang w:val="pl-PL"/>
        </w:rPr>
        <w:t>y dofinansowani</w:t>
      </w:r>
      <w:r w:rsidR="00F005D9" w:rsidRPr="008602DE">
        <w:rPr>
          <w:szCs w:val="24"/>
          <w:lang w:val="pl-PL"/>
        </w:rPr>
        <w:t>a</w:t>
      </w:r>
      <w:r w:rsidRPr="008602DE">
        <w:rPr>
          <w:szCs w:val="24"/>
          <w:lang w:val="pl-PL"/>
        </w:rPr>
        <w:t>, najpóźniej do 14 dni kalendarzowych od upłynięcia terminu</w:t>
      </w:r>
      <w:r w:rsidR="003726FB" w:rsidRPr="008602DE">
        <w:rPr>
          <w:szCs w:val="24"/>
          <w:lang w:val="pl-PL"/>
        </w:rPr>
        <w:t xml:space="preserve"> </w:t>
      </w:r>
      <w:r w:rsidR="00220187" w:rsidRPr="008602DE">
        <w:rPr>
          <w:szCs w:val="24"/>
          <w:lang w:val="pl-PL"/>
        </w:rPr>
        <w:t>wyznaczonego</w:t>
      </w:r>
      <w:r w:rsidRPr="008602DE">
        <w:rPr>
          <w:szCs w:val="24"/>
          <w:lang w:val="pl-PL"/>
        </w:rPr>
        <w:t xml:space="preserve"> partnerowi w drugim wezwaniu do zapłaty, wraz z podaniem przyczyny, dla której zwrot środków nie jest możliwy.</w:t>
      </w:r>
    </w:p>
    <w:p w14:paraId="624C1DD3" w14:textId="37A2B973" w:rsidR="00277B18" w:rsidRPr="008602DE" w:rsidRDefault="00277B18" w:rsidP="002B7FA0">
      <w:pPr>
        <w:pStyle w:val="Nadpis1"/>
        <w:ind w:left="0" w:hanging="1"/>
        <w:jc w:val="center"/>
        <w:rPr>
          <w:lang w:val="pl-PL"/>
        </w:rPr>
      </w:pPr>
      <w:bookmarkStart w:id="37" w:name="_Toc434755139"/>
      <w:r w:rsidRPr="002B7FA0">
        <w:rPr>
          <w:lang w:val="pl-PL"/>
        </w:rPr>
        <w:t>Postanowienia</w:t>
      </w:r>
      <w:r w:rsidRPr="008602DE">
        <w:rPr>
          <w:rFonts w:eastAsia="Cambria" w:cs="Cambria"/>
          <w:lang w:val="pl-PL"/>
        </w:rPr>
        <w:t xml:space="preserve"> końcowe</w:t>
      </w:r>
      <w:bookmarkEnd w:id="37"/>
    </w:p>
    <w:p w14:paraId="1D2121DD" w14:textId="77777777" w:rsidR="00277B18" w:rsidRPr="008602DE" w:rsidRDefault="00277B18" w:rsidP="00792BB8">
      <w:pPr>
        <w:jc w:val="both"/>
        <w:rPr>
          <w:lang w:val="pl-PL"/>
        </w:rPr>
      </w:pPr>
    </w:p>
    <w:p w14:paraId="1B1CD894" w14:textId="77777777" w:rsidR="00277B18" w:rsidRPr="008602DE" w:rsidRDefault="00277B18" w:rsidP="000B7DDC">
      <w:pPr>
        <w:pStyle w:val="Odstavecseseznamem"/>
        <w:numPr>
          <w:ilvl w:val="0"/>
          <w:numId w:val="26"/>
        </w:numPr>
        <w:ind w:left="567" w:hanging="501"/>
        <w:rPr>
          <w:b/>
          <w:bCs/>
          <w:lang w:val="pl-PL"/>
        </w:rPr>
      </w:pPr>
      <w:r w:rsidRPr="008602DE">
        <w:rPr>
          <w:lang w:val="pl-PL"/>
        </w:rPr>
        <w:t>Decyzja ta wchodzi w życie w dniu podpisania pr</w:t>
      </w:r>
      <w:r w:rsidR="002F6125" w:rsidRPr="008602DE">
        <w:rPr>
          <w:lang w:val="pl-PL"/>
        </w:rPr>
        <w:t xml:space="preserve">zez podmiot </w:t>
      </w:r>
      <w:r w:rsidR="00F005D9" w:rsidRPr="008602DE">
        <w:rPr>
          <w:lang w:val="pl-PL"/>
        </w:rPr>
        <w:t>udzielając</w:t>
      </w:r>
      <w:r w:rsidR="002F6125" w:rsidRPr="008602DE">
        <w:rPr>
          <w:lang w:val="pl-PL"/>
        </w:rPr>
        <w:t>y dofinansowani</w:t>
      </w:r>
      <w:r w:rsidR="00F005D9" w:rsidRPr="008602DE">
        <w:rPr>
          <w:lang w:val="pl-PL"/>
        </w:rPr>
        <w:t>a</w:t>
      </w:r>
      <w:r w:rsidR="002F6125" w:rsidRPr="008602DE">
        <w:rPr>
          <w:lang w:val="pl-PL"/>
        </w:rPr>
        <w:t>.</w:t>
      </w:r>
    </w:p>
    <w:p w14:paraId="3CAD6F92" w14:textId="3360E3A1" w:rsidR="00277B18" w:rsidRPr="008602DE" w:rsidRDefault="00277B18" w:rsidP="000B7DDC">
      <w:pPr>
        <w:pStyle w:val="Odstavecseseznamem"/>
        <w:numPr>
          <w:ilvl w:val="0"/>
          <w:numId w:val="26"/>
        </w:numPr>
        <w:ind w:left="567" w:hanging="501"/>
        <w:rPr>
          <w:b/>
          <w:bCs/>
          <w:lang w:val="pl-PL"/>
        </w:rPr>
      </w:pPr>
      <w:r w:rsidRPr="008602DE">
        <w:rPr>
          <w:lang w:val="pl-PL"/>
        </w:rPr>
        <w:t xml:space="preserve">Niniejsza Decyzja sporządzona została w </w:t>
      </w:r>
      <w:r w:rsidR="0020307B" w:rsidRPr="008602DE">
        <w:rPr>
          <w:lang w:val="pl-PL"/>
        </w:rPr>
        <w:t>formie elektronicznej</w:t>
      </w:r>
      <w:r w:rsidRPr="008602DE">
        <w:rPr>
          <w:lang w:val="pl-PL"/>
        </w:rPr>
        <w:t xml:space="preserve"> w języku czeskim i w języku polskim</w:t>
      </w:r>
      <w:r w:rsidR="0020307B" w:rsidRPr="008602DE">
        <w:rPr>
          <w:lang w:val="pl-PL"/>
        </w:rPr>
        <w:t xml:space="preserve">. Obie wersje językowe Decyzji otrzymuje </w:t>
      </w:r>
      <w:r w:rsidR="00057B02" w:rsidRPr="008602DE">
        <w:rPr>
          <w:lang w:val="pl-PL"/>
        </w:rPr>
        <w:t>Główny B</w:t>
      </w:r>
      <w:r w:rsidRPr="008602DE">
        <w:rPr>
          <w:lang w:val="pl-PL"/>
        </w:rPr>
        <w:t xml:space="preserve">eneficjent </w:t>
      </w:r>
      <w:r w:rsidR="0020307B" w:rsidRPr="008602DE">
        <w:rPr>
          <w:lang w:val="pl-PL"/>
        </w:rPr>
        <w:t>oraz</w:t>
      </w:r>
      <w:r w:rsidRPr="008602DE">
        <w:rPr>
          <w:lang w:val="pl-PL"/>
        </w:rPr>
        <w:t xml:space="preserve"> podmiot </w:t>
      </w:r>
      <w:r w:rsidR="00F005D9" w:rsidRPr="008602DE">
        <w:rPr>
          <w:lang w:val="pl-PL"/>
        </w:rPr>
        <w:t>udzielając</w:t>
      </w:r>
      <w:r w:rsidRPr="008602DE">
        <w:rPr>
          <w:lang w:val="pl-PL"/>
        </w:rPr>
        <w:t>y dofinansowani</w:t>
      </w:r>
      <w:r w:rsidR="00F005D9" w:rsidRPr="008602DE">
        <w:rPr>
          <w:lang w:val="pl-PL"/>
        </w:rPr>
        <w:t>a</w:t>
      </w:r>
      <w:r w:rsidRPr="008602DE">
        <w:rPr>
          <w:lang w:val="pl-PL"/>
        </w:rPr>
        <w:t xml:space="preserve">. </w:t>
      </w:r>
    </w:p>
    <w:p w14:paraId="649E0AA7" w14:textId="77777777" w:rsidR="00277B18" w:rsidRPr="008602DE" w:rsidRDefault="00277B18" w:rsidP="000B7DDC">
      <w:pPr>
        <w:pStyle w:val="Odstavecseseznamem"/>
        <w:numPr>
          <w:ilvl w:val="0"/>
          <w:numId w:val="26"/>
        </w:numPr>
        <w:ind w:left="567" w:hanging="501"/>
        <w:rPr>
          <w:b/>
          <w:bCs/>
          <w:lang w:val="pl-PL"/>
        </w:rPr>
      </w:pPr>
      <w:r w:rsidRPr="008602DE">
        <w:rPr>
          <w:lang w:val="pl-PL"/>
        </w:rPr>
        <w:t>Integralną częścią niniejszej</w:t>
      </w:r>
      <w:r w:rsidR="002F6125" w:rsidRPr="008602DE">
        <w:rPr>
          <w:lang w:val="pl-PL"/>
        </w:rPr>
        <w:t xml:space="preserve"> Decyzji są następujące</w:t>
      </w:r>
      <w:r w:rsidRPr="008602DE">
        <w:rPr>
          <w:lang w:val="pl-PL"/>
        </w:rPr>
        <w:t xml:space="preserve"> załączniki: </w:t>
      </w:r>
    </w:p>
    <w:p w14:paraId="1E0BA7F9" w14:textId="270964E4" w:rsidR="00277B18" w:rsidRPr="008602DE" w:rsidRDefault="00277B18" w:rsidP="000B7DDC">
      <w:pPr>
        <w:ind w:left="2127" w:hanging="1134"/>
        <w:jc w:val="both"/>
        <w:rPr>
          <w:snapToGrid w:val="0"/>
          <w:lang w:val="pl-PL"/>
        </w:rPr>
      </w:pPr>
      <w:r w:rsidRPr="008602DE">
        <w:rPr>
          <w:szCs w:val="24"/>
          <w:lang w:val="pl-PL"/>
        </w:rPr>
        <w:lastRenderedPageBreak/>
        <w:t xml:space="preserve">Zał. nr 1: </w:t>
      </w:r>
      <w:r w:rsidR="000B7DDC" w:rsidRPr="008602DE">
        <w:rPr>
          <w:szCs w:val="24"/>
          <w:lang w:val="pl-PL"/>
        </w:rPr>
        <w:tab/>
      </w:r>
      <w:r w:rsidRPr="008602DE">
        <w:rPr>
          <w:szCs w:val="24"/>
          <w:lang w:val="pl-PL"/>
        </w:rPr>
        <w:t xml:space="preserve">Zestawienie </w:t>
      </w:r>
      <w:r w:rsidR="0020307B" w:rsidRPr="008602DE">
        <w:rPr>
          <w:szCs w:val="24"/>
          <w:lang w:val="pl-PL"/>
        </w:rPr>
        <w:t xml:space="preserve">całkowitych </w:t>
      </w:r>
      <w:r w:rsidRPr="008602DE">
        <w:rPr>
          <w:szCs w:val="24"/>
          <w:lang w:val="pl-PL"/>
        </w:rPr>
        <w:t xml:space="preserve">wydatków projektu </w:t>
      </w:r>
      <w:r w:rsidR="00220187" w:rsidRPr="008602DE">
        <w:rPr>
          <w:szCs w:val="24"/>
          <w:lang w:val="pl-PL"/>
        </w:rPr>
        <w:t>oraz</w:t>
      </w:r>
      <w:r w:rsidRPr="008602DE">
        <w:rPr>
          <w:szCs w:val="24"/>
          <w:lang w:val="pl-PL"/>
        </w:rPr>
        <w:t xml:space="preserve"> </w:t>
      </w:r>
      <w:r w:rsidR="0020307B" w:rsidRPr="008602DE">
        <w:rPr>
          <w:szCs w:val="24"/>
          <w:lang w:val="pl-PL"/>
        </w:rPr>
        <w:t xml:space="preserve">całkowitych </w:t>
      </w:r>
      <w:r w:rsidRPr="008602DE">
        <w:rPr>
          <w:szCs w:val="24"/>
          <w:lang w:val="pl-PL"/>
        </w:rPr>
        <w:t xml:space="preserve">wydatków na poziomie </w:t>
      </w:r>
      <w:r w:rsidR="00057B02" w:rsidRPr="008602DE">
        <w:rPr>
          <w:szCs w:val="24"/>
          <w:lang w:val="pl-PL"/>
        </w:rPr>
        <w:t>Głównego B</w:t>
      </w:r>
      <w:r w:rsidRPr="008602DE">
        <w:rPr>
          <w:szCs w:val="24"/>
          <w:lang w:val="pl-PL"/>
        </w:rPr>
        <w:t xml:space="preserve">eneficjenta i partnerów </w:t>
      </w:r>
    </w:p>
    <w:p w14:paraId="4037C63C" w14:textId="2CE4B4D6" w:rsidR="00277B18" w:rsidRPr="008602DE" w:rsidRDefault="00277B18" w:rsidP="000B7DDC">
      <w:pPr>
        <w:ind w:left="993"/>
        <w:jc w:val="both"/>
        <w:rPr>
          <w:snapToGrid w:val="0"/>
          <w:lang w:val="pl-PL"/>
        </w:rPr>
      </w:pPr>
      <w:r w:rsidRPr="008602DE">
        <w:rPr>
          <w:szCs w:val="24"/>
          <w:lang w:val="pl-PL"/>
        </w:rPr>
        <w:t xml:space="preserve">Zał. nr 2: </w:t>
      </w:r>
      <w:r w:rsidR="000B7DDC" w:rsidRPr="008602DE">
        <w:rPr>
          <w:szCs w:val="24"/>
          <w:lang w:val="pl-PL"/>
        </w:rPr>
        <w:tab/>
      </w:r>
      <w:r w:rsidRPr="008602DE">
        <w:rPr>
          <w:szCs w:val="24"/>
          <w:lang w:val="pl-PL"/>
        </w:rPr>
        <w:t>Szczegółowa specyfikacja projektu</w:t>
      </w:r>
    </w:p>
    <w:p w14:paraId="36BCD047" w14:textId="2E704AA8" w:rsidR="00277B18" w:rsidRPr="008602DE" w:rsidRDefault="00277B18" w:rsidP="000B7DDC">
      <w:pPr>
        <w:ind w:left="993"/>
        <w:jc w:val="both"/>
        <w:rPr>
          <w:snapToGrid w:val="0"/>
          <w:lang w:val="pl-PL"/>
        </w:rPr>
      </w:pPr>
      <w:r w:rsidRPr="008602DE">
        <w:rPr>
          <w:szCs w:val="24"/>
          <w:lang w:val="pl-PL"/>
        </w:rPr>
        <w:t xml:space="preserve">Zał. nr 3: </w:t>
      </w:r>
      <w:r w:rsidR="000B7DDC" w:rsidRPr="008602DE">
        <w:rPr>
          <w:szCs w:val="24"/>
          <w:lang w:val="pl-PL"/>
        </w:rPr>
        <w:tab/>
      </w:r>
      <w:r w:rsidRPr="008602DE">
        <w:rPr>
          <w:szCs w:val="24"/>
          <w:lang w:val="pl-PL"/>
        </w:rPr>
        <w:t>Szczegółowy budżet projektu</w:t>
      </w:r>
    </w:p>
    <w:p w14:paraId="048EFD87" w14:textId="06CC5B56" w:rsidR="00277B18" w:rsidRPr="008602DE" w:rsidRDefault="00277B18" w:rsidP="000B7DDC">
      <w:pPr>
        <w:ind w:left="993"/>
        <w:jc w:val="both"/>
        <w:rPr>
          <w:lang w:val="pl-PL"/>
        </w:rPr>
      </w:pPr>
      <w:r w:rsidRPr="008602DE">
        <w:rPr>
          <w:szCs w:val="24"/>
          <w:lang w:val="pl-PL"/>
        </w:rPr>
        <w:t xml:space="preserve">Zał. nr 4: </w:t>
      </w:r>
      <w:r w:rsidR="000B7DDC" w:rsidRPr="008602DE">
        <w:rPr>
          <w:szCs w:val="24"/>
          <w:lang w:val="pl-PL"/>
        </w:rPr>
        <w:tab/>
      </w:r>
      <w:r w:rsidR="009036FF" w:rsidRPr="008602DE">
        <w:rPr>
          <w:szCs w:val="24"/>
          <w:lang w:val="pl-PL"/>
        </w:rPr>
        <w:t>Przegląd uproszczonych metod wykazywania wydatków w projekcie</w:t>
      </w:r>
    </w:p>
    <w:p w14:paraId="7CA0CD53" w14:textId="3DA56B6E" w:rsidR="009036FF" w:rsidRPr="008602DE" w:rsidRDefault="00277B18" w:rsidP="000B7DDC">
      <w:pPr>
        <w:ind w:left="2127" w:hanging="1134"/>
        <w:jc w:val="both"/>
        <w:rPr>
          <w:szCs w:val="24"/>
          <w:lang w:val="pl-PL"/>
        </w:rPr>
      </w:pPr>
      <w:r w:rsidRPr="008602DE">
        <w:rPr>
          <w:szCs w:val="24"/>
          <w:lang w:val="pl-PL"/>
        </w:rPr>
        <w:t xml:space="preserve">Zał. nr </w:t>
      </w:r>
      <w:r w:rsidR="008E59CB" w:rsidRPr="008602DE">
        <w:rPr>
          <w:szCs w:val="24"/>
          <w:lang w:val="pl-PL"/>
        </w:rPr>
        <w:t>5</w:t>
      </w:r>
      <w:r w:rsidRPr="008602DE">
        <w:rPr>
          <w:szCs w:val="24"/>
          <w:lang w:val="pl-PL"/>
        </w:rPr>
        <w:t xml:space="preserve">: </w:t>
      </w:r>
      <w:r w:rsidR="000B7DDC" w:rsidRPr="008602DE">
        <w:rPr>
          <w:szCs w:val="24"/>
          <w:lang w:val="pl-PL"/>
        </w:rPr>
        <w:tab/>
      </w:r>
      <w:r w:rsidR="009036FF" w:rsidRPr="008602DE">
        <w:rPr>
          <w:szCs w:val="24"/>
          <w:lang w:val="pl-PL"/>
        </w:rPr>
        <w:t>Okresy monitorowania projektu i harmonogram składania raportów z realizacji oraz wn</w:t>
      </w:r>
      <w:r w:rsidR="000B7DDC" w:rsidRPr="008602DE">
        <w:rPr>
          <w:szCs w:val="24"/>
          <w:lang w:val="pl-PL"/>
        </w:rPr>
        <w:tab/>
      </w:r>
      <w:r w:rsidR="009036FF" w:rsidRPr="008602DE">
        <w:rPr>
          <w:szCs w:val="24"/>
          <w:lang w:val="pl-PL"/>
        </w:rPr>
        <w:t>iosków o płatność</w:t>
      </w:r>
    </w:p>
    <w:p w14:paraId="3FF1EC94" w14:textId="58748B5F" w:rsidR="00277B18" w:rsidRPr="008602DE" w:rsidRDefault="009036FF" w:rsidP="000B7DDC">
      <w:pPr>
        <w:ind w:left="993"/>
        <w:jc w:val="both"/>
        <w:rPr>
          <w:lang w:val="pl-PL"/>
        </w:rPr>
      </w:pPr>
      <w:r w:rsidRPr="008602DE">
        <w:rPr>
          <w:szCs w:val="24"/>
          <w:lang w:val="pl-PL"/>
        </w:rPr>
        <w:t xml:space="preserve">Zał. Nr 6: </w:t>
      </w:r>
      <w:r w:rsidR="000B7DDC" w:rsidRPr="008602DE">
        <w:rPr>
          <w:szCs w:val="24"/>
          <w:lang w:val="pl-PL"/>
        </w:rPr>
        <w:tab/>
      </w:r>
      <w:r w:rsidR="00277B18" w:rsidRPr="008602DE">
        <w:rPr>
          <w:szCs w:val="24"/>
          <w:lang w:val="pl-PL"/>
        </w:rPr>
        <w:t>Dane identyfikacyjne</w:t>
      </w:r>
      <w:r w:rsidR="00220187" w:rsidRPr="008602DE">
        <w:rPr>
          <w:szCs w:val="24"/>
          <w:lang w:val="pl-PL"/>
        </w:rPr>
        <w:t xml:space="preserve"> rachunku</w:t>
      </w:r>
      <w:r w:rsidR="00277B18" w:rsidRPr="008602DE">
        <w:rPr>
          <w:szCs w:val="24"/>
          <w:lang w:val="pl-PL"/>
        </w:rPr>
        <w:t xml:space="preserve"> bankowego</w:t>
      </w:r>
    </w:p>
    <w:p w14:paraId="3F0DB452" w14:textId="2B90353F" w:rsidR="00277B18" w:rsidRPr="008602DE" w:rsidRDefault="00277B18" w:rsidP="000B7DDC">
      <w:pPr>
        <w:ind w:left="993"/>
        <w:jc w:val="both"/>
        <w:rPr>
          <w:lang w:val="pl-PL"/>
        </w:rPr>
      </w:pPr>
      <w:r w:rsidRPr="008602DE">
        <w:rPr>
          <w:szCs w:val="24"/>
          <w:lang w:val="pl-PL"/>
        </w:rPr>
        <w:t xml:space="preserve">Zał. nr </w:t>
      </w:r>
      <w:r w:rsidR="009036FF" w:rsidRPr="008602DE">
        <w:rPr>
          <w:szCs w:val="24"/>
          <w:lang w:val="pl-PL"/>
        </w:rPr>
        <w:t>7</w:t>
      </w:r>
      <w:r w:rsidRPr="008602DE">
        <w:rPr>
          <w:szCs w:val="24"/>
          <w:lang w:val="pl-PL"/>
        </w:rPr>
        <w:t xml:space="preserve">: </w:t>
      </w:r>
      <w:r w:rsidR="000B7DDC" w:rsidRPr="008602DE">
        <w:rPr>
          <w:szCs w:val="24"/>
          <w:lang w:val="pl-PL"/>
        </w:rPr>
        <w:tab/>
      </w:r>
      <w:r w:rsidRPr="008602DE">
        <w:rPr>
          <w:szCs w:val="24"/>
          <w:lang w:val="pl-PL"/>
        </w:rPr>
        <w:t>Plan finansowy</w:t>
      </w:r>
    </w:p>
    <w:p w14:paraId="18952EE1" w14:textId="33B88E6F" w:rsidR="00277B18" w:rsidRPr="008602DE" w:rsidRDefault="00F81D73" w:rsidP="000B7DDC">
      <w:pPr>
        <w:ind w:left="993"/>
        <w:jc w:val="both"/>
        <w:rPr>
          <w:szCs w:val="24"/>
          <w:lang w:val="pl-PL"/>
        </w:rPr>
      </w:pPr>
      <w:r w:rsidRPr="008602DE">
        <w:rPr>
          <w:szCs w:val="24"/>
          <w:lang w:val="pl-PL"/>
        </w:rPr>
        <w:t xml:space="preserve">Zał. </w:t>
      </w:r>
      <w:r w:rsidR="009036FF" w:rsidRPr="008602DE">
        <w:rPr>
          <w:szCs w:val="24"/>
          <w:lang w:val="pl-PL"/>
        </w:rPr>
        <w:t xml:space="preserve">nr </w:t>
      </w:r>
      <w:r w:rsidR="000701CF" w:rsidRPr="008602DE">
        <w:rPr>
          <w:szCs w:val="24"/>
          <w:lang w:val="pl-PL"/>
        </w:rPr>
        <w:t>8</w:t>
      </w:r>
      <w:r w:rsidRPr="008602DE">
        <w:rPr>
          <w:szCs w:val="24"/>
          <w:lang w:val="pl-PL"/>
        </w:rPr>
        <w:t xml:space="preserve">: </w:t>
      </w:r>
      <w:r w:rsidR="000B7DDC" w:rsidRPr="008602DE">
        <w:rPr>
          <w:szCs w:val="24"/>
          <w:lang w:val="pl-PL"/>
        </w:rPr>
        <w:tab/>
      </w:r>
      <w:r w:rsidR="009467D1">
        <w:rPr>
          <w:szCs w:val="24"/>
          <w:lang w:val="pl-PL"/>
        </w:rPr>
        <w:t>Zawiadomienie</w:t>
      </w:r>
      <w:r w:rsidR="009467D1" w:rsidRPr="008602DE">
        <w:rPr>
          <w:szCs w:val="24"/>
          <w:lang w:val="pl-PL"/>
        </w:rPr>
        <w:t xml:space="preserve"> </w:t>
      </w:r>
      <w:r w:rsidRPr="008602DE">
        <w:rPr>
          <w:szCs w:val="24"/>
          <w:lang w:val="pl-PL"/>
        </w:rPr>
        <w:t xml:space="preserve">o </w:t>
      </w:r>
      <w:r w:rsidR="009467D1">
        <w:rPr>
          <w:szCs w:val="24"/>
          <w:lang w:val="pl-PL"/>
        </w:rPr>
        <w:t>przyzna</w:t>
      </w:r>
      <w:r w:rsidR="009467D1" w:rsidRPr="008602DE">
        <w:rPr>
          <w:szCs w:val="24"/>
          <w:lang w:val="pl-PL"/>
        </w:rPr>
        <w:t xml:space="preserve">niu </w:t>
      </w:r>
      <w:r w:rsidR="009467D1">
        <w:rPr>
          <w:szCs w:val="24"/>
          <w:lang w:val="pl-PL"/>
        </w:rPr>
        <w:t>wsparcia</w:t>
      </w:r>
      <w:r w:rsidR="009467D1" w:rsidRPr="008602DE">
        <w:rPr>
          <w:szCs w:val="24"/>
          <w:lang w:val="pl-PL"/>
        </w:rPr>
        <w:t xml:space="preserve"> </w:t>
      </w:r>
      <w:r w:rsidRPr="008602DE">
        <w:rPr>
          <w:szCs w:val="24"/>
          <w:lang w:val="pl-PL"/>
        </w:rPr>
        <w:t>de minimis (</w:t>
      </w:r>
      <w:r w:rsidR="00220187" w:rsidRPr="008602DE">
        <w:rPr>
          <w:szCs w:val="24"/>
          <w:lang w:val="pl-PL"/>
        </w:rPr>
        <w:t>jeżeli</w:t>
      </w:r>
      <w:r w:rsidRPr="008602DE">
        <w:rPr>
          <w:szCs w:val="24"/>
          <w:lang w:val="pl-PL"/>
        </w:rPr>
        <w:t xml:space="preserve"> dotyczy projektu)</w:t>
      </w:r>
    </w:p>
    <w:p w14:paraId="2E343C44" w14:textId="2EE43E68" w:rsidR="00E520F4" w:rsidRPr="008602DE" w:rsidRDefault="00277B18" w:rsidP="000B7DDC">
      <w:pPr>
        <w:pStyle w:val="Odstavecseseznamem"/>
        <w:numPr>
          <w:ilvl w:val="0"/>
          <w:numId w:val="26"/>
        </w:numPr>
        <w:ind w:left="567" w:hanging="501"/>
        <w:rPr>
          <w:b/>
          <w:bCs/>
          <w:lang w:val="pl-PL"/>
        </w:rPr>
      </w:pPr>
      <w:r w:rsidRPr="008602DE">
        <w:rPr>
          <w:lang w:val="pl-PL"/>
        </w:rPr>
        <w:t xml:space="preserve">Wszelkie zmiany </w:t>
      </w:r>
      <w:r w:rsidRPr="008602DE">
        <w:rPr>
          <w:vertAlign w:val="superscript"/>
          <w:lang w:val="pl-PL"/>
        </w:rPr>
        <w:footnoteReference w:id="23"/>
      </w:r>
      <w:r w:rsidR="0020307B" w:rsidRPr="008602DE">
        <w:rPr>
          <w:lang w:val="pl-PL"/>
        </w:rPr>
        <w:t xml:space="preserve"> </w:t>
      </w:r>
      <w:r w:rsidRPr="008602DE">
        <w:rPr>
          <w:lang w:val="pl-PL"/>
        </w:rPr>
        <w:t xml:space="preserve">Decyzji </w:t>
      </w:r>
      <w:r w:rsidR="0020307B" w:rsidRPr="008602DE">
        <w:rPr>
          <w:lang w:val="pl-PL"/>
        </w:rPr>
        <w:t xml:space="preserve">dokonać </w:t>
      </w:r>
      <w:r w:rsidRPr="008602DE">
        <w:rPr>
          <w:lang w:val="pl-PL"/>
        </w:rPr>
        <w:t xml:space="preserve">można wyłącznie w oparciu o wniosek </w:t>
      </w:r>
      <w:r w:rsidR="00057B02" w:rsidRPr="008602DE">
        <w:rPr>
          <w:lang w:val="pl-PL"/>
        </w:rPr>
        <w:t>Głównego B</w:t>
      </w:r>
      <w:r w:rsidRPr="008602DE">
        <w:rPr>
          <w:lang w:val="pl-PL"/>
        </w:rPr>
        <w:t>eneficjenta, składany do Wspólnego Sekretariatu, zgodnie z obowiązującymi przepisami prawa</w:t>
      </w:r>
      <w:r w:rsidRPr="008602DE">
        <w:rPr>
          <w:vertAlign w:val="superscript"/>
          <w:lang w:val="pl-PL"/>
        </w:rPr>
        <w:footnoteReference w:id="24"/>
      </w:r>
      <w:r w:rsidRPr="008602DE">
        <w:rPr>
          <w:lang w:val="pl-PL"/>
        </w:rPr>
        <w:t xml:space="preserve"> oraz postanowieniami P</w:t>
      </w:r>
      <w:r w:rsidR="002F6125" w:rsidRPr="008602DE">
        <w:rPr>
          <w:lang w:val="pl-PL"/>
        </w:rPr>
        <w:t>odręczni</w:t>
      </w:r>
      <w:r w:rsidRPr="008602DE">
        <w:rPr>
          <w:lang w:val="pl-PL"/>
        </w:rPr>
        <w:t>k</w:t>
      </w:r>
      <w:r w:rsidR="00220187" w:rsidRPr="008602DE">
        <w:rPr>
          <w:lang w:val="pl-PL"/>
        </w:rPr>
        <w:t>a</w:t>
      </w:r>
      <w:r w:rsidRPr="008602DE">
        <w:rPr>
          <w:lang w:val="pl-PL"/>
        </w:rPr>
        <w:t xml:space="preserve"> </w:t>
      </w:r>
      <w:r w:rsidR="0020307B" w:rsidRPr="008602DE">
        <w:rPr>
          <w:lang w:val="pl-PL"/>
        </w:rPr>
        <w:t>B</w:t>
      </w:r>
      <w:r w:rsidRPr="008602DE">
        <w:rPr>
          <w:lang w:val="pl-PL"/>
        </w:rPr>
        <w:t>eneficjenta.</w:t>
      </w:r>
    </w:p>
    <w:p w14:paraId="24F8BDF8" w14:textId="1C7648A5" w:rsidR="00277B18" w:rsidRPr="008602DE" w:rsidRDefault="00E520F4" w:rsidP="000B7DDC">
      <w:pPr>
        <w:pStyle w:val="Odstavecseseznamem"/>
        <w:numPr>
          <w:ilvl w:val="0"/>
          <w:numId w:val="26"/>
        </w:numPr>
        <w:ind w:left="567" w:hanging="501"/>
        <w:rPr>
          <w:b/>
          <w:bCs/>
          <w:lang w:val="pl-PL"/>
        </w:rPr>
      </w:pPr>
      <w:r w:rsidRPr="008602DE">
        <w:rPr>
          <w:lang w:val="pl-PL"/>
        </w:rPr>
        <w:t xml:space="preserve">Główny </w:t>
      </w:r>
      <w:r w:rsidR="0020307B" w:rsidRPr="008602DE">
        <w:rPr>
          <w:lang w:val="pl-PL"/>
        </w:rPr>
        <w:t>B</w:t>
      </w:r>
      <w:r w:rsidRPr="008602DE">
        <w:rPr>
          <w:lang w:val="pl-PL"/>
        </w:rPr>
        <w:t xml:space="preserve">eneficjent przyjmuje do wiadomości, że wszystkie dokumenty związane z realizacją projektu dostarczane są za pośrednictwem systemu monitorującego MS2021+. Dokumenty doręczone Głównemu </w:t>
      </w:r>
      <w:r w:rsidR="0020307B" w:rsidRPr="008602DE">
        <w:rPr>
          <w:lang w:val="pl-PL"/>
        </w:rPr>
        <w:t>B</w:t>
      </w:r>
      <w:r w:rsidRPr="008602DE">
        <w:rPr>
          <w:lang w:val="pl-PL"/>
        </w:rPr>
        <w:t>eneficjentowi za pośrednictwem systemu monitorującego uważa się, za doręczone w momencie, kiedy do systemu monitorującego (IS KP</w:t>
      </w:r>
      <w:r w:rsidR="0020307B" w:rsidRPr="008602DE">
        <w:rPr>
          <w:lang w:val="pl-PL"/>
        </w:rPr>
        <w:t>20</w:t>
      </w:r>
      <w:r w:rsidRPr="008602DE">
        <w:rPr>
          <w:lang w:val="pl-PL"/>
        </w:rPr>
        <w:t xml:space="preserve">21+) </w:t>
      </w:r>
      <w:r w:rsidR="00E61C1F" w:rsidRPr="008602DE">
        <w:rPr>
          <w:rStyle w:val="Znakapoznpodarou"/>
          <w:sz w:val="24"/>
          <w:szCs w:val="24"/>
          <w:lang w:val="pl-PL"/>
        </w:rPr>
        <w:footnoteReference w:id="25"/>
      </w:r>
      <w:r w:rsidRPr="008602DE">
        <w:rPr>
          <w:lang w:val="pl-PL"/>
        </w:rPr>
        <w:t xml:space="preserve">zaloguje się Główny </w:t>
      </w:r>
      <w:r w:rsidR="0020307B" w:rsidRPr="008602DE">
        <w:rPr>
          <w:lang w:val="pl-PL"/>
        </w:rPr>
        <w:t>B</w:t>
      </w:r>
      <w:r w:rsidRPr="008602DE">
        <w:rPr>
          <w:lang w:val="pl-PL"/>
        </w:rPr>
        <w:t xml:space="preserve">eneficjent lub upoważnione przez niego osoba, mająca w systemie monitorującym w ramach swoich uprawnień dostęp do dokumentu. Jeśli w terminie 10 dni od dnia, kiedy dokument został wprowadzony do systemu monitorującego, do systemu </w:t>
      </w:r>
      <w:r w:rsidR="00126224" w:rsidRPr="008602DE">
        <w:rPr>
          <w:lang w:val="pl-PL"/>
        </w:rPr>
        <w:t>monitorującego</w:t>
      </w:r>
      <w:r w:rsidRPr="008602DE">
        <w:rPr>
          <w:lang w:val="pl-PL"/>
        </w:rPr>
        <w:t xml:space="preserve"> nie zaloguje się </w:t>
      </w:r>
      <w:r w:rsidR="0020307B" w:rsidRPr="008602DE">
        <w:rPr>
          <w:lang w:val="pl-PL"/>
        </w:rPr>
        <w:t xml:space="preserve">Główny </w:t>
      </w:r>
      <w:r w:rsidRPr="008602DE">
        <w:rPr>
          <w:lang w:val="pl-PL"/>
        </w:rPr>
        <w:t>Beneficjent ani upoważniona przez niego osoba, dokument uznaje się za doręczony w ostatnim dniu tego terminu.</w:t>
      </w:r>
    </w:p>
    <w:p w14:paraId="759C8E95" w14:textId="01F7077E" w:rsidR="00277B18" w:rsidRPr="008602DE" w:rsidRDefault="00277B18" w:rsidP="000B7DDC">
      <w:pPr>
        <w:pStyle w:val="Nadpis1"/>
        <w:jc w:val="center"/>
        <w:rPr>
          <w:lang w:val="pl-PL"/>
        </w:rPr>
      </w:pPr>
      <w:bookmarkStart w:id="38" w:name="_Toc434755140"/>
      <w:bookmarkStart w:id="39" w:name="_Hlk163049686"/>
      <w:r w:rsidRPr="008602DE">
        <w:rPr>
          <w:rFonts w:eastAsia="Cambria" w:cs="Cambria"/>
          <w:lang w:val="pl-PL"/>
        </w:rPr>
        <w:t>Pouczenie</w:t>
      </w:r>
      <w:bookmarkEnd w:id="38"/>
    </w:p>
    <w:bookmarkEnd w:id="39"/>
    <w:p w14:paraId="3B3AC983" w14:textId="2A62B00D" w:rsidR="003D1F81" w:rsidRDefault="003D1F81" w:rsidP="00792BB8">
      <w:pPr>
        <w:jc w:val="both"/>
        <w:rPr>
          <w:szCs w:val="24"/>
          <w:lang w:val="pl-PL"/>
        </w:rPr>
      </w:pPr>
      <w:r w:rsidRPr="003D1F81">
        <w:rPr>
          <w:szCs w:val="24"/>
          <w:lang w:val="pl-PL"/>
        </w:rPr>
        <w:t xml:space="preserve">Od </w:t>
      </w:r>
      <w:r>
        <w:rPr>
          <w:szCs w:val="24"/>
          <w:lang w:val="pl-PL"/>
        </w:rPr>
        <w:t>niniejszej</w:t>
      </w:r>
      <w:r w:rsidRPr="003D1F81">
        <w:rPr>
          <w:szCs w:val="24"/>
          <w:lang w:val="pl-PL"/>
        </w:rPr>
        <w:t xml:space="preserve"> decyzji nie przysługuje odwołanie ani </w:t>
      </w:r>
      <w:r w:rsidRPr="003E1C72">
        <w:rPr>
          <w:szCs w:val="24"/>
          <w:lang w:val="pl-PL"/>
        </w:rPr>
        <w:t>inny środek zaskarżenia</w:t>
      </w:r>
      <w:r w:rsidRPr="003D1F81">
        <w:rPr>
          <w:szCs w:val="24"/>
          <w:lang w:val="pl-PL"/>
        </w:rPr>
        <w:t xml:space="preserve">. </w:t>
      </w:r>
      <w:r>
        <w:rPr>
          <w:szCs w:val="24"/>
          <w:lang w:val="pl-PL"/>
        </w:rPr>
        <w:t>Wznowienie</w:t>
      </w:r>
      <w:r w:rsidRPr="003D1F81">
        <w:rPr>
          <w:szCs w:val="24"/>
          <w:lang w:val="pl-PL"/>
        </w:rPr>
        <w:t xml:space="preserve"> </w:t>
      </w:r>
      <w:r>
        <w:rPr>
          <w:szCs w:val="24"/>
          <w:lang w:val="pl-PL"/>
        </w:rPr>
        <w:t>postępowania</w:t>
      </w:r>
      <w:r w:rsidRPr="003D1F81">
        <w:rPr>
          <w:szCs w:val="24"/>
          <w:lang w:val="pl-PL"/>
        </w:rPr>
        <w:t xml:space="preserve"> nie jest dopuszczalne. </w:t>
      </w:r>
      <w:r w:rsidR="0027137B">
        <w:rPr>
          <w:szCs w:val="24"/>
          <w:lang w:val="pl-PL"/>
        </w:rPr>
        <w:t>Nadzwyczajne p</w:t>
      </w:r>
      <w:r w:rsidRPr="003D1F81">
        <w:rPr>
          <w:szCs w:val="24"/>
          <w:lang w:val="pl-PL"/>
        </w:rPr>
        <w:t xml:space="preserve">ostępowanie </w:t>
      </w:r>
      <w:r w:rsidR="0027137B">
        <w:rPr>
          <w:szCs w:val="24"/>
          <w:lang w:val="pl-PL"/>
        </w:rPr>
        <w:t>weryfikacyjne</w:t>
      </w:r>
      <w:r w:rsidRPr="003D1F81">
        <w:rPr>
          <w:szCs w:val="24"/>
          <w:lang w:val="pl-PL"/>
        </w:rPr>
        <w:t xml:space="preserve"> jest niedopuszczalne, z wyjątkiem </w:t>
      </w:r>
      <w:r w:rsidR="0027137B">
        <w:rPr>
          <w:szCs w:val="24"/>
          <w:lang w:val="pl-PL"/>
        </w:rPr>
        <w:t>procedury</w:t>
      </w:r>
      <w:r w:rsidRPr="003D1F81">
        <w:rPr>
          <w:szCs w:val="24"/>
          <w:lang w:val="pl-PL"/>
        </w:rPr>
        <w:t xml:space="preserve"> na podstawie </w:t>
      </w:r>
      <w:r w:rsidR="0027137B" w:rsidRPr="003E1C72">
        <w:rPr>
          <w:szCs w:val="24"/>
          <w:lang w:val="pl-PL"/>
        </w:rPr>
        <w:t>§</w:t>
      </w:r>
      <w:r w:rsidRPr="003D1F81">
        <w:rPr>
          <w:szCs w:val="24"/>
          <w:lang w:val="pl-PL"/>
        </w:rPr>
        <w:t xml:space="preserve"> 153 ust. 1 lit. a) kodeksu postępowania administracyjnego.</w:t>
      </w:r>
    </w:p>
    <w:p w14:paraId="5DDEC3FE" w14:textId="77777777" w:rsidR="003D1F81" w:rsidRPr="008602DE" w:rsidRDefault="003D1F81" w:rsidP="00792BB8">
      <w:pPr>
        <w:jc w:val="both"/>
        <w:rPr>
          <w:lang w:val="pl-PL"/>
        </w:rPr>
      </w:pPr>
    </w:p>
    <w:p w14:paraId="0E9C5206" w14:textId="1BDD7279" w:rsidR="00277B18" w:rsidRDefault="00277B18" w:rsidP="00792BB8">
      <w:pPr>
        <w:widowControl w:val="0"/>
        <w:jc w:val="both"/>
        <w:rPr>
          <w:lang w:val="pl-PL"/>
        </w:rPr>
      </w:pPr>
    </w:p>
    <w:p w14:paraId="197D59F6" w14:textId="0B4170F8" w:rsidR="00377E6F" w:rsidRDefault="00377E6F" w:rsidP="00792BB8">
      <w:pPr>
        <w:widowControl w:val="0"/>
        <w:jc w:val="both"/>
        <w:rPr>
          <w:lang w:val="pl-PL"/>
        </w:rPr>
      </w:pPr>
    </w:p>
    <w:p w14:paraId="689798A8" w14:textId="77777777" w:rsidR="00377E6F" w:rsidRPr="008602DE" w:rsidRDefault="00377E6F" w:rsidP="00792BB8">
      <w:pPr>
        <w:widowControl w:val="0"/>
        <w:jc w:val="both"/>
        <w:rPr>
          <w:lang w:val="pl-PL"/>
        </w:rPr>
      </w:pPr>
    </w:p>
    <w:p w14:paraId="5DD17846" w14:textId="77777777" w:rsidR="00AD7266" w:rsidRDefault="00AD7266" w:rsidP="00792BB8">
      <w:pPr>
        <w:jc w:val="both"/>
        <w:rPr>
          <w:szCs w:val="24"/>
          <w:lang w:val="pl-PL"/>
        </w:rPr>
      </w:pPr>
    </w:p>
    <w:p w14:paraId="1E035845" w14:textId="6503CCB7" w:rsidR="00277B18" w:rsidRDefault="00277B18" w:rsidP="00792BB8">
      <w:pPr>
        <w:jc w:val="both"/>
        <w:rPr>
          <w:szCs w:val="24"/>
          <w:lang w:val="pl-PL"/>
        </w:rPr>
      </w:pPr>
      <w:r w:rsidRPr="008602DE">
        <w:rPr>
          <w:szCs w:val="24"/>
          <w:lang w:val="pl-PL"/>
        </w:rPr>
        <w:t xml:space="preserve">Ołomuniec, </w:t>
      </w:r>
      <w:r w:rsidR="00377E6F">
        <w:rPr>
          <w:szCs w:val="24"/>
          <w:lang w:val="pl-PL"/>
        </w:rPr>
        <w:t>z</w:t>
      </w:r>
      <w:r w:rsidR="00377E6F" w:rsidRPr="008602DE">
        <w:rPr>
          <w:szCs w:val="24"/>
          <w:lang w:val="pl-PL"/>
        </w:rPr>
        <w:t>a merytoryczną i formalną poprawność Decyzji odpowiada</w:t>
      </w:r>
      <w:r w:rsidR="00AD7266">
        <w:rPr>
          <w:szCs w:val="24"/>
          <w:lang w:val="pl-PL"/>
        </w:rPr>
        <w:t>:</w:t>
      </w:r>
      <w:r w:rsidR="00377E6F" w:rsidRPr="008602DE">
        <w:rPr>
          <w:szCs w:val="24"/>
          <w:lang w:val="pl-PL"/>
        </w:rPr>
        <w:t xml:space="preserve"> </w:t>
      </w:r>
    </w:p>
    <w:p w14:paraId="09B5319C" w14:textId="77777777" w:rsidR="00AD7266" w:rsidRPr="008602DE" w:rsidRDefault="00AD7266" w:rsidP="00792BB8">
      <w:pPr>
        <w:jc w:val="both"/>
        <w:rPr>
          <w:lang w:val="pl-PL"/>
        </w:rPr>
      </w:pPr>
    </w:p>
    <w:p w14:paraId="3BE936E9" w14:textId="77777777" w:rsidR="00AD7266" w:rsidRDefault="00AD7266" w:rsidP="00AD7266">
      <w:pPr>
        <w:widowControl w:val="0"/>
        <w:ind w:left="4956" w:firstLine="708"/>
        <w:jc w:val="both"/>
        <w:rPr>
          <w:szCs w:val="24"/>
          <w:lang w:val="pl-PL"/>
        </w:rPr>
      </w:pPr>
    </w:p>
    <w:p w14:paraId="0F99F467" w14:textId="08D7050B" w:rsidR="00277B18" w:rsidRPr="008602DE" w:rsidRDefault="00277B18" w:rsidP="00AD7266">
      <w:pPr>
        <w:widowControl w:val="0"/>
        <w:ind w:left="4956" w:firstLine="708"/>
        <w:jc w:val="both"/>
        <w:rPr>
          <w:lang w:val="pl-PL"/>
        </w:rPr>
      </w:pPr>
      <w:r w:rsidRPr="008602DE">
        <w:rPr>
          <w:szCs w:val="24"/>
          <w:lang w:val="pl-PL"/>
        </w:rPr>
        <w:t xml:space="preserve">      ...........................................</w:t>
      </w:r>
    </w:p>
    <w:p w14:paraId="2041CF10" w14:textId="77777777" w:rsidR="00277B18" w:rsidRPr="008602DE" w:rsidRDefault="002F6125" w:rsidP="00792BB8">
      <w:pPr>
        <w:widowControl w:val="0"/>
        <w:jc w:val="both"/>
        <w:rPr>
          <w:lang w:val="pl-PL"/>
        </w:rPr>
      </w:pPr>
      <w:r w:rsidRPr="008602DE">
        <w:rPr>
          <w:szCs w:val="24"/>
          <w:lang w:val="pl-PL"/>
        </w:rPr>
        <w:tab/>
      </w:r>
      <w:r w:rsidRPr="008602DE">
        <w:rPr>
          <w:szCs w:val="24"/>
          <w:lang w:val="pl-PL"/>
        </w:rPr>
        <w:tab/>
      </w:r>
      <w:r w:rsidRPr="008602DE">
        <w:rPr>
          <w:szCs w:val="24"/>
          <w:lang w:val="pl-PL"/>
        </w:rPr>
        <w:tab/>
      </w:r>
      <w:r w:rsidRPr="008602DE">
        <w:rPr>
          <w:szCs w:val="24"/>
          <w:lang w:val="pl-PL"/>
        </w:rPr>
        <w:tab/>
      </w:r>
      <w:r w:rsidRPr="008602DE">
        <w:rPr>
          <w:szCs w:val="24"/>
          <w:lang w:val="pl-PL"/>
        </w:rPr>
        <w:tab/>
      </w:r>
      <w:r w:rsidR="006349FF" w:rsidRPr="008602DE">
        <w:rPr>
          <w:szCs w:val="24"/>
          <w:lang w:val="pl-PL"/>
        </w:rPr>
        <w:tab/>
      </w:r>
      <w:r w:rsidR="006349FF" w:rsidRPr="008602DE">
        <w:rPr>
          <w:szCs w:val="24"/>
          <w:lang w:val="pl-PL"/>
        </w:rPr>
        <w:tab/>
      </w:r>
      <w:r w:rsidR="006349FF" w:rsidRPr="008602DE">
        <w:rPr>
          <w:szCs w:val="24"/>
          <w:lang w:val="pl-PL"/>
        </w:rPr>
        <w:tab/>
      </w:r>
      <w:r w:rsidR="00277B18" w:rsidRPr="008602DE">
        <w:rPr>
          <w:szCs w:val="24"/>
          <w:lang w:val="pl-PL"/>
        </w:rPr>
        <w:t xml:space="preserve">Kierownik Wspólnego Sekretariatu </w:t>
      </w:r>
    </w:p>
    <w:p w14:paraId="17B16E45" w14:textId="77777777" w:rsidR="006349FF" w:rsidRPr="008602DE" w:rsidRDefault="006349FF" w:rsidP="00792BB8">
      <w:pPr>
        <w:jc w:val="both"/>
        <w:rPr>
          <w:szCs w:val="24"/>
          <w:lang w:val="pl-PL"/>
        </w:rPr>
      </w:pPr>
    </w:p>
    <w:p w14:paraId="0C4EAA65" w14:textId="073CEF8A" w:rsidR="00277B18" w:rsidRDefault="00277B18" w:rsidP="00792BB8">
      <w:pPr>
        <w:jc w:val="both"/>
        <w:rPr>
          <w:szCs w:val="24"/>
          <w:lang w:val="pl-PL"/>
        </w:rPr>
      </w:pPr>
      <w:r w:rsidRPr="008602DE">
        <w:rPr>
          <w:szCs w:val="24"/>
          <w:lang w:val="pl-PL"/>
        </w:rPr>
        <w:t xml:space="preserve">Praga, </w:t>
      </w:r>
      <w:r w:rsidR="00377E6F">
        <w:rPr>
          <w:szCs w:val="24"/>
          <w:lang w:val="pl-PL"/>
        </w:rPr>
        <w:t>w</w:t>
      </w:r>
      <w:r w:rsidR="00377E6F" w:rsidRPr="008602DE">
        <w:rPr>
          <w:szCs w:val="24"/>
          <w:lang w:val="pl-PL"/>
        </w:rPr>
        <w:t xml:space="preserve"> imieniu podmiotu udzielającego dofinansowanie</w:t>
      </w:r>
      <w:r w:rsidR="00AD7266">
        <w:rPr>
          <w:szCs w:val="24"/>
          <w:lang w:val="pl-PL"/>
        </w:rPr>
        <w:t>:</w:t>
      </w:r>
      <w:r w:rsidR="00377E6F" w:rsidRPr="008602DE">
        <w:rPr>
          <w:szCs w:val="24"/>
          <w:lang w:val="pl-PL"/>
        </w:rPr>
        <w:t xml:space="preserve"> </w:t>
      </w:r>
    </w:p>
    <w:p w14:paraId="47BE27A5" w14:textId="77777777" w:rsidR="00AD7266" w:rsidRDefault="00AD7266" w:rsidP="00792BB8">
      <w:pPr>
        <w:jc w:val="both"/>
        <w:rPr>
          <w:szCs w:val="24"/>
          <w:lang w:val="pl-PL"/>
        </w:rPr>
      </w:pPr>
    </w:p>
    <w:p w14:paraId="1331E4BB" w14:textId="77777777" w:rsidR="00AD7266" w:rsidRPr="008602DE" w:rsidRDefault="00AD7266" w:rsidP="00792BB8">
      <w:pPr>
        <w:jc w:val="both"/>
        <w:rPr>
          <w:lang w:val="pl-PL"/>
        </w:rPr>
      </w:pPr>
    </w:p>
    <w:p w14:paraId="2DD57175" w14:textId="7E6702A4" w:rsidR="00277B18" w:rsidRPr="008602DE" w:rsidRDefault="00AD7266" w:rsidP="00792BB8">
      <w:pPr>
        <w:widowControl w:val="0"/>
        <w:jc w:val="both"/>
        <w:rPr>
          <w:lang w:val="pl-PL"/>
        </w:rPr>
      </w:pPr>
      <w:r>
        <w:rPr>
          <w:szCs w:val="24"/>
          <w:lang w:val="pl-PL"/>
        </w:rPr>
        <w:tab/>
      </w:r>
      <w:r>
        <w:rPr>
          <w:szCs w:val="24"/>
          <w:lang w:val="pl-PL"/>
        </w:rPr>
        <w:tab/>
      </w:r>
      <w:r>
        <w:rPr>
          <w:szCs w:val="24"/>
          <w:lang w:val="pl-PL"/>
        </w:rPr>
        <w:tab/>
      </w:r>
      <w:r>
        <w:rPr>
          <w:szCs w:val="24"/>
          <w:lang w:val="pl-PL"/>
        </w:rPr>
        <w:tab/>
      </w:r>
      <w:r>
        <w:rPr>
          <w:szCs w:val="24"/>
          <w:lang w:val="pl-PL"/>
        </w:rPr>
        <w:tab/>
      </w:r>
      <w:r>
        <w:rPr>
          <w:szCs w:val="24"/>
          <w:lang w:val="pl-PL"/>
        </w:rPr>
        <w:tab/>
      </w:r>
      <w:r>
        <w:rPr>
          <w:szCs w:val="24"/>
          <w:lang w:val="pl-PL"/>
        </w:rPr>
        <w:tab/>
      </w:r>
      <w:r w:rsidR="000B7DDC" w:rsidRPr="008602DE">
        <w:rPr>
          <w:szCs w:val="24"/>
          <w:lang w:val="pl-PL"/>
        </w:rPr>
        <w:tab/>
        <w:t>.......</w:t>
      </w:r>
      <w:r w:rsidR="00277B18" w:rsidRPr="008602DE">
        <w:rPr>
          <w:lang w:val="pl-PL"/>
        </w:rPr>
        <w:t>..........…………………………..</w:t>
      </w:r>
    </w:p>
    <w:p w14:paraId="52DB6C61" w14:textId="590520AC" w:rsidR="008D35BE" w:rsidRPr="008602DE" w:rsidRDefault="000B7DDC" w:rsidP="008D35BE">
      <w:pPr>
        <w:jc w:val="both"/>
        <w:rPr>
          <w:lang w:val="pl-PL"/>
        </w:rPr>
      </w:pPr>
      <w:r w:rsidRPr="008602DE">
        <w:rPr>
          <w:szCs w:val="24"/>
          <w:lang w:val="pl-PL"/>
        </w:rPr>
        <w:t xml:space="preserve">           </w:t>
      </w:r>
      <w:r w:rsidRPr="008602DE">
        <w:rPr>
          <w:szCs w:val="24"/>
          <w:lang w:val="pl-PL"/>
        </w:rPr>
        <w:tab/>
        <w:t xml:space="preserve">  </w:t>
      </w:r>
      <w:r w:rsidR="002F6125" w:rsidRPr="008602DE">
        <w:rPr>
          <w:szCs w:val="24"/>
          <w:lang w:val="pl-PL"/>
        </w:rPr>
        <w:tab/>
      </w:r>
      <w:r w:rsidR="002F6125" w:rsidRPr="008602DE">
        <w:rPr>
          <w:szCs w:val="24"/>
          <w:lang w:val="pl-PL"/>
        </w:rPr>
        <w:tab/>
      </w:r>
      <w:r w:rsidR="002F6125" w:rsidRPr="008602DE">
        <w:rPr>
          <w:szCs w:val="24"/>
          <w:lang w:val="pl-PL"/>
        </w:rPr>
        <w:tab/>
      </w:r>
      <w:r w:rsidRPr="008602DE">
        <w:rPr>
          <w:szCs w:val="24"/>
          <w:lang w:val="pl-PL"/>
        </w:rPr>
        <w:t xml:space="preserve">   </w:t>
      </w:r>
      <w:r w:rsidR="00277B18" w:rsidRPr="008602DE">
        <w:rPr>
          <w:szCs w:val="24"/>
          <w:lang w:val="pl-PL"/>
        </w:rPr>
        <w:t xml:space="preserve">Dyrektor Departamentu Europejskiej Współpracy Terytorialnej </w:t>
      </w:r>
    </w:p>
    <w:p w14:paraId="4BE6A77B" w14:textId="77777777" w:rsidR="00277B18" w:rsidRPr="000B7DDC" w:rsidRDefault="006349FF" w:rsidP="000B5A60">
      <w:pPr>
        <w:ind w:left="2124"/>
        <w:rPr>
          <w:szCs w:val="24"/>
          <w:lang w:val="pl-PL"/>
        </w:rPr>
      </w:pPr>
      <w:r w:rsidRPr="008602DE">
        <w:rPr>
          <w:szCs w:val="24"/>
          <w:lang w:val="pl-PL"/>
        </w:rPr>
        <w:t xml:space="preserve">     </w:t>
      </w:r>
      <w:r w:rsidR="000B7DDC" w:rsidRPr="008602DE">
        <w:rPr>
          <w:szCs w:val="24"/>
          <w:lang w:val="pl-PL"/>
        </w:rPr>
        <w:t xml:space="preserve">                </w:t>
      </w:r>
      <w:r w:rsidR="00277B18" w:rsidRPr="008602DE">
        <w:rPr>
          <w:szCs w:val="24"/>
          <w:lang w:val="pl-PL"/>
        </w:rPr>
        <w:t>Ministerstwa Rozwoju</w:t>
      </w:r>
      <w:r w:rsidR="008D35BE" w:rsidRPr="008602DE">
        <w:rPr>
          <w:szCs w:val="24"/>
          <w:lang w:val="pl-PL"/>
        </w:rPr>
        <w:t xml:space="preserve"> Regionalnego Republiki Czeskiej</w:t>
      </w:r>
    </w:p>
    <w:p w14:paraId="276200CD" w14:textId="77777777" w:rsidR="00277B18" w:rsidRPr="00057B02" w:rsidRDefault="00277B18" w:rsidP="008D35BE">
      <w:pPr>
        <w:pStyle w:val="l3"/>
        <w:widowControl w:val="0"/>
        <w:numPr>
          <w:ilvl w:val="0"/>
          <w:numId w:val="0"/>
        </w:numPr>
        <w:spacing w:after="60"/>
        <w:rPr>
          <w:szCs w:val="22"/>
          <w:lang w:val="pl-PL"/>
        </w:rPr>
      </w:pPr>
    </w:p>
    <w:sectPr w:rsidR="00277B18" w:rsidRPr="00057B02" w:rsidSect="00277B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C4E26" w14:textId="77777777" w:rsidR="00CF6B28" w:rsidRDefault="00CF6B28">
      <w:r>
        <w:separator/>
      </w:r>
    </w:p>
  </w:endnote>
  <w:endnote w:type="continuationSeparator" w:id="0">
    <w:p w14:paraId="329B1AFB" w14:textId="77777777" w:rsidR="00CF6B28" w:rsidRDefault="00CF6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Times New Roman"/>
    <w:charset w:val="00"/>
    <w:family w:val="auto"/>
    <w:pitch w:val="variable"/>
    <w:sig w:usb0="800002EF" w:usb1="1000E0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A8AB6" w14:textId="77777777" w:rsidR="00DB6AF1" w:rsidRDefault="00DB6AF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9A8544F" w14:textId="77777777" w:rsidR="00DB6AF1" w:rsidRDefault="00DB6A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08E87" w14:textId="62F5E213" w:rsidR="00DB6AF1" w:rsidRDefault="000B7DDC" w:rsidP="000B7DDC">
    <w:pPr>
      <w:pStyle w:val="Zpat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DEEF129" wp14:editId="22A667D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4" name="Obráze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6AF1">
      <w:rPr>
        <w:lang w:val="pl-PL"/>
      </w:rPr>
      <w:t xml:space="preserve">Strona </w:t>
    </w:r>
    <w:r w:rsidR="00DB6AF1">
      <w:rPr>
        <w:rStyle w:val="slostrnky"/>
      </w:rPr>
      <w:fldChar w:fldCharType="begin"/>
    </w:r>
    <w:r w:rsidR="00DB6AF1">
      <w:rPr>
        <w:rStyle w:val="slostrnky"/>
      </w:rPr>
      <w:instrText xml:space="preserve"> PAGE </w:instrText>
    </w:r>
    <w:r w:rsidR="00DB6AF1">
      <w:rPr>
        <w:rStyle w:val="slostrnky"/>
      </w:rPr>
      <w:fldChar w:fldCharType="separate"/>
    </w:r>
    <w:r w:rsidR="000646B2">
      <w:rPr>
        <w:rStyle w:val="slostrnky"/>
        <w:noProof/>
      </w:rPr>
      <w:t>21</w:t>
    </w:r>
    <w:r w:rsidR="00DB6AF1">
      <w:rPr>
        <w:rStyle w:val="slostrnky"/>
      </w:rPr>
      <w:fldChar w:fldCharType="end"/>
    </w:r>
    <w:r w:rsidR="00DB6AF1">
      <w:rPr>
        <w:lang w:val="pl-PL"/>
      </w:rPr>
      <w:t xml:space="preserve"> z </w:t>
    </w:r>
    <w:r w:rsidR="00DB6AF1">
      <w:rPr>
        <w:rStyle w:val="slostrnky"/>
      </w:rPr>
      <w:fldChar w:fldCharType="begin"/>
    </w:r>
    <w:r w:rsidR="00DB6AF1">
      <w:rPr>
        <w:rStyle w:val="slostrnky"/>
      </w:rPr>
      <w:instrText xml:space="preserve"> NUMPAGES </w:instrText>
    </w:r>
    <w:r w:rsidR="00DB6AF1">
      <w:rPr>
        <w:rStyle w:val="slostrnky"/>
      </w:rPr>
      <w:fldChar w:fldCharType="separate"/>
    </w:r>
    <w:r w:rsidR="000646B2">
      <w:rPr>
        <w:rStyle w:val="slostrnky"/>
        <w:noProof/>
      </w:rPr>
      <w:t>21</w:t>
    </w:r>
    <w:r w:rsidR="00DB6AF1"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74FA2" w14:textId="77777777" w:rsidR="004D768D" w:rsidRDefault="004D768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2F468" w14:textId="77777777" w:rsidR="00CF6B28" w:rsidRDefault="00CF6B28">
      <w:r>
        <w:separator/>
      </w:r>
    </w:p>
  </w:footnote>
  <w:footnote w:type="continuationSeparator" w:id="0">
    <w:p w14:paraId="09211118" w14:textId="77777777" w:rsidR="00CF6B28" w:rsidRDefault="00CF6B28">
      <w:r>
        <w:continuationSeparator/>
      </w:r>
    </w:p>
  </w:footnote>
  <w:footnote w:id="1">
    <w:p w14:paraId="6541491A" w14:textId="77777777" w:rsidR="00DB6AF1" w:rsidRPr="00746483" w:rsidRDefault="00DB6AF1">
      <w:pPr>
        <w:pStyle w:val="Textpoznpodarou"/>
        <w:rPr>
          <w:lang w:val="pl-PL"/>
        </w:rPr>
      </w:pPr>
      <w:r w:rsidRPr="00314892">
        <w:rPr>
          <w:rStyle w:val="Znakapoznpodarou"/>
          <w:lang w:val="pl-PL"/>
        </w:rPr>
        <w:footnoteRef/>
      </w:r>
      <w:r w:rsidRPr="00746483">
        <w:rPr>
          <w:lang w:val="pl-PL"/>
        </w:rPr>
        <w:t xml:space="preserve"> Drobne odchylenia rzędu tysięcznych części procenta będą tolerowane.</w:t>
      </w:r>
    </w:p>
  </w:footnote>
  <w:footnote w:id="2">
    <w:p w14:paraId="149E4663" w14:textId="2F844E22" w:rsidR="00DB6AF1" w:rsidRPr="00746483" w:rsidRDefault="00DB6AF1" w:rsidP="00792BB8">
      <w:pPr>
        <w:pStyle w:val="Textpoznpodarou"/>
        <w:rPr>
          <w:lang w:val="pl-PL"/>
        </w:rPr>
      </w:pPr>
      <w:r w:rsidRPr="00746483">
        <w:rPr>
          <w:rStyle w:val="Znakapoznpodarou"/>
          <w:lang w:val="pl-PL"/>
        </w:rPr>
        <w:footnoteRef/>
      </w:r>
      <w:r w:rsidR="002F3763" w:rsidRPr="00746483">
        <w:rPr>
          <w:lang w:val="pl-PL"/>
        </w:rPr>
        <w:t xml:space="preserve">Dotyczy </w:t>
      </w:r>
      <w:r w:rsidR="002F3763" w:rsidRPr="00746483">
        <w:rPr>
          <w:lang w:val="pl-PL"/>
        </w:rPr>
        <w:t xml:space="preserve">to </w:t>
      </w:r>
      <w:r w:rsidRPr="00746483">
        <w:rPr>
          <w:lang w:val="pl-PL"/>
        </w:rPr>
        <w:t>jednorazow</w:t>
      </w:r>
      <w:r w:rsidR="002F3763" w:rsidRPr="00746483">
        <w:rPr>
          <w:lang w:val="pl-PL"/>
        </w:rPr>
        <w:t>ej</w:t>
      </w:r>
      <w:r w:rsidRPr="00746483">
        <w:rPr>
          <w:lang w:val="pl-PL"/>
        </w:rPr>
        <w:t xml:space="preserve"> kwot</w:t>
      </w:r>
      <w:r w:rsidR="002F3763" w:rsidRPr="00746483">
        <w:rPr>
          <w:lang w:val="pl-PL"/>
        </w:rPr>
        <w:t>y</w:t>
      </w:r>
      <w:r w:rsidRPr="00746483">
        <w:rPr>
          <w:lang w:val="pl-PL"/>
        </w:rPr>
        <w:t xml:space="preserve"> dofinansowania</w:t>
      </w:r>
      <w:r w:rsidR="002F3763" w:rsidRPr="00746483">
        <w:rPr>
          <w:lang w:val="pl-PL"/>
        </w:rPr>
        <w:t xml:space="preserve"> i</w:t>
      </w:r>
      <w:r w:rsidRPr="00746483">
        <w:rPr>
          <w:lang w:val="pl-PL"/>
        </w:rPr>
        <w:t xml:space="preserve"> finansowan</w:t>
      </w:r>
      <w:r w:rsidR="002F3763" w:rsidRPr="00746483">
        <w:rPr>
          <w:lang w:val="pl-PL"/>
        </w:rPr>
        <w:t>ia</w:t>
      </w:r>
      <w:r w:rsidRPr="00746483">
        <w:rPr>
          <w:lang w:val="pl-PL"/>
        </w:rPr>
        <w:t xml:space="preserve"> ryczałtow</w:t>
      </w:r>
      <w:r w:rsidR="002F3763" w:rsidRPr="00746483">
        <w:rPr>
          <w:lang w:val="pl-PL"/>
        </w:rPr>
        <w:t>ego, ewentualnie o wykorzystanie kosztów jednostkowych</w:t>
      </w:r>
    </w:p>
  </w:footnote>
  <w:footnote w:id="3">
    <w:p w14:paraId="16FEF293" w14:textId="10659771" w:rsidR="00DB6AF1" w:rsidRPr="00746483" w:rsidRDefault="00DB6AF1" w:rsidP="00277B18">
      <w:pPr>
        <w:pStyle w:val="Textpoznpodarou"/>
        <w:jc w:val="both"/>
        <w:rPr>
          <w:lang w:val="pl-PL"/>
        </w:rPr>
      </w:pPr>
      <w:r w:rsidRPr="00746483">
        <w:rPr>
          <w:rStyle w:val="Znakapoznpodarou"/>
          <w:lang w:val="pl-PL"/>
        </w:rPr>
        <w:footnoteRef/>
      </w:r>
      <w:r w:rsidRPr="00746483">
        <w:rPr>
          <w:lang w:val="pl-PL"/>
        </w:rPr>
        <w:t xml:space="preserve">Poprzez </w:t>
      </w:r>
      <w:r w:rsidRPr="00746483">
        <w:rPr>
          <w:lang w:val="pl-PL"/>
        </w:rPr>
        <w:t xml:space="preserve">projekt rozumiane są operacje zgodne z definicją zawartą w art. 2, ust. </w:t>
      </w:r>
      <w:r w:rsidR="002F3763" w:rsidRPr="00746483">
        <w:rPr>
          <w:lang w:val="pl-PL"/>
        </w:rPr>
        <w:t xml:space="preserve">4 </w:t>
      </w:r>
      <w:r w:rsidR="00160FA2">
        <w:rPr>
          <w:lang w:val="pl-PL"/>
        </w:rPr>
        <w:t>Rozporządzenia Parlamentu Europejskiego i Rady (UE) 2021/1060 (</w:t>
      </w:r>
      <w:r w:rsidRPr="00746483">
        <w:rPr>
          <w:lang w:val="pl-PL"/>
        </w:rPr>
        <w:t>rozporządzenia ogólnego</w:t>
      </w:r>
      <w:r w:rsidR="00160FA2">
        <w:rPr>
          <w:lang w:val="pl-PL"/>
        </w:rPr>
        <w:t>)</w:t>
      </w:r>
      <w:r w:rsidRPr="00746483">
        <w:rPr>
          <w:lang w:val="pl-PL"/>
        </w:rPr>
        <w:t xml:space="preserve">. </w:t>
      </w:r>
    </w:p>
  </w:footnote>
  <w:footnote w:id="4">
    <w:p w14:paraId="22B69712" w14:textId="3E1BA653" w:rsidR="007051EB" w:rsidRPr="00314892" w:rsidRDefault="007051EB" w:rsidP="007051EB">
      <w:pPr>
        <w:pStyle w:val="Textpoznpodarou"/>
        <w:rPr>
          <w:lang w:val="pl-PL"/>
        </w:rPr>
      </w:pPr>
      <w:r w:rsidRPr="00314892">
        <w:rPr>
          <w:rStyle w:val="Znakapoznpodarou"/>
          <w:lang w:val="pl-PL"/>
        </w:rPr>
        <w:footnoteRef/>
      </w:r>
      <w:r w:rsidRPr="00314892">
        <w:rPr>
          <w:lang w:val="pl-PL"/>
        </w:rPr>
        <w:t xml:space="preserve"> </w:t>
      </w:r>
      <w:r w:rsidR="00126224" w:rsidRPr="00126224">
        <w:rPr>
          <w:lang w:val="pl-PL"/>
        </w:rPr>
        <w:t xml:space="preserve">Podmiot zapewniający </w:t>
      </w:r>
      <w:r w:rsidR="00126224">
        <w:rPr>
          <w:lang w:val="pl-PL"/>
        </w:rPr>
        <w:t>w szczególności</w:t>
      </w:r>
      <w:r w:rsidR="00126224" w:rsidRPr="00126224">
        <w:rPr>
          <w:lang w:val="pl-PL"/>
        </w:rPr>
        <w:t xml:space="preserve"> wsparcie administracyjne dla </w:t>
      </w:r>
      <w:r w:rsidR="00126224">
        <w:rPr>
          <w:lang w:val="pl-PL"/>
        </w:rPr>
        <w:t>podmiotu udzielającego dofinansowanie</w:t>
      </w:r>
      <w:r w:rsidR="00126224" w:rsidRPr="00126224">
        <w:rPr>
          <w:lang w:val="pl-PL"/>
        </w:rPr>
        <w:t xml:space="preserve"> </w:t>
      </w:r>
      <w:r w:rsidR="00126224">
        <w:rPr>
          <w:lang w:val="pl-PL"/>
        </w:rPr>
        <w:t>a także promocję programu</w:t>
      </w:r>
      <w:r w:rsidR="00126224" w:rsidRPr="00126224">
        <w:rPr>
          <w:lang w:val="pl-PL"/>
        </w:rPr>
        <w:t xml:space="preserve">. Wspólny </w:t>
      </w:r>
      <w:r w:rsidR="00126224">
        <w:rPr>
          <w:lang w:val="pl-PL"/>
        </w:rPr>
        <w:t>S</w:t>
      </w:r>
      <w:r w:rsidR="00126224" w:rsidRPr="00126224">
        <w:rPr>
          <w:lang w:val="pl-PL"/>
        </w:rPr>
        <w:t xml:space="preserve">ekretariat </w:t>
      </w:r>
      <w:r w:rsidR="00126224">
        <w:rPr>
          <w:lang w:val="pl-PL"/>
        </w:rPr>
        <w:t xml:space="preserve">ponadto </w:t>
      </w:r>
      <w:r w:rsidR="00126224" w:rsidRPr="00126224">
        <w:rPr>
          <w:lang w:val="pl-PL"/>
        </w:rPr>
        <w:t>m.in. przygotowuje decyzj</w:t>
      </w:r>
      <w:r w:rsidR="00126224">
        <w:rPr>
          <w:lang w:val="pl-PL"/>
        </w:rPr>
        <w:t>e</w:t>
      </w:r>
      <w:r w:rsidR="00126224" w:rsidRPr="00126224">
        <w:rPr>
          <w:lang w:val="pl-PL"/>
        </w:rPr>
        <w:t xml:space="preserve"> o </w:t>
      </w:r>
      <w:r w:rsidR="00126224">
        <w:rPr>
          <w:lang w:val="pl-PL"/>
        </w:rPr>
        <w:t xml:space="preserve">przyznaniu </w:t>
      </w:r>
      <w:r w:rsidR="00126224" w:rsidRPr="00126224">
        <w:rPr>
          <w:lang w:val="pl-PL"/>
        </w:rPr>
        <w:t>dofinansowani</w:t>
      </w:r>
      <w:r w:rsidR="00126224">
        <w:rPr>
          <w:lang w:val="pl-PL"/>
        </w:rPr>
        <w:t>a</w:t>
      </w:r>
      <w:r w:rsidR="00126224" w:rsidRPr="00126224">
        <w:rPr>
          <w:lang w:val="pl-PL"/>
        </w:rPr>
        <w:t>/umow</w:t>
      </w:r>
      <w:r w:rsidR="00126224">
        <w:rPr>
          <w:lang w:val="pl-PL"/>
        </w:rPr>
        <w:t>y</w:t>
      </w:r>
      <w:r w:rsidR="00126224" w:rsidRPr="00126224">
        <w:rPr>
          <w:lang w:val="pl-PL"/>
        </w:rPr>
        <w:t xml:space="preserve"> o dofinansowanie projektu i </w:t>
      </w:r>
      <w:r w:rsidR="00126224">
        <w:rPr>
          <w:lang w:val="pl-PL"/>
        </w:rPr>
        <w:t>dokonuje ich</w:t>
      </w:r>
      <w:r w:rsidR="00126224" w:rsidRPr="00126224">
        <w:rPr>
          <w:lang w:val="pl-PL"/>
        </w:rPr>
        <w:t xml:space="preserve"> zmian, </w:t>
      </w:r>
      <w:r w:rsidR="00126224">
        <w:rPr>
          <w:lang w:val="pl-PL"/>
        </w:rPr>
        <w:t>kontroluje</w:t>
      </w:r>
      <w:r w:rsidR="00126224" w:rsidRPr="00126224">
        <w:rPr>
          <w:lang w:val="pl-PL"/>
        </w:rPr>
        <w:t xml:space="preserve"> realizację współpracy transgranicznej i </w:t>
      </w:r>
      <w:r w:rsidR="00126224">
        <w:rPr>
          <w:lang w:val="pl-PL"/>
        </w:rPr>
        <w:t>wpływu</w:t>
      </w:r>
      <w:r w:rsidR="00126224" w:rsidRPr="00126224">
        <w:rPr>
          <w:lang w:val="pl-PL"/>
        </w:rPr>
        <w:t xml:space="preserve"> transgraniczne</w:t>
      </w:r>
      <w:r w:rsidR="00126224">
        <w:rPr>
          <w:lang w:val="pl-PL"/>
        </w:rPr>
        <w:t>go</w:t>
      </w:r>
      <w:r w:rsidR="00126224" w:rsidRPr="00126224">
        <w:rPr>
          <w:lang w:val="pl-PL"/>
        </w:rPr>
        <w:t xml:space="preserve"> w trakcie i po zakończeniu realizacji projektu.</w:t>
      </w:r>
    </w:p>
  </w:footnote>
  <w:footnote w:id="5">
    <w:p w14:paraId="4DACA421" w14:textId="77777777" w:rsidR="00DB6AF1" w:rsidRPr="00746483" w:rsidRDefault="00DB6AF1">
      <w:pPr>
        <w:pStyle w:val="Textpoznpodarou"/>
        <w:rPr>
          <w:lang w:val="pl-PL"/>
        </w:rPr>
      </w:pPr>
      <w:r w:rsidRPr="00746483">
        <w:rPr>
          <w:rStyle w:val="Znakapoznpodarou"/>
          <w:lang w:val="pl-PL"/>
        </w:rPr>
        <w:footnoteRef/>
      </w:r>
      <w:r w:rsidRPr="00746483">
        <w:rPr>
          <w:lang w:val="pl-PL"/>
        </w:rPr>
        <w:t xml:space="preserve">W </w:t>
      </w:r>
      <w:r w:rsidRPr="00746483">
        <w:rPr>
          <w:lang w:val="pl-PL"/>
        </w:rPr>
        <w:t>odniesieniu do wartości ostatniej obowiązującej wersji budżetu projektu, który jest częścią Decyzji.</w:t>
      </w:r>
    </w:p>
  </w:footnote>
  <w:footnote w:id="6">
    <w:p w14:paraId="73215EB3" w14:textId="454417AB" w:rsidR="00DB6AF1" w:rsidRPr="00746483" w:rsidRDefault="00DB6AF1" w:rsidP="00277B18">
      <w:pPr>
        <w:pStyle w:val="Textpoznpodarou"/>
        <w:jc w:val="both"/>
        <w:rPr>
          <w:lang w:val="pl-PL"/>
        </w:rPr>
      </w:pPr>
      <w:r w:rsidRPr="00746483">
        <w:rPr>
          <w:rStyle w:val="Znakapoznpodarou"/>
          <w:lang w:val="pl-PL"/>
        </w:rPr>
        <w:footnoteRef/>
      </w:r>
      <w:r w:rsidRPr="00746483">
        <w:rPr>
          <w:lang w:val="pl-PL"/>
        </w:rPr>
        <w:t xml:space="preserve">Zmianę </w:t>
      </w:r>
      <w:r w:rsidRPr="00746483">
        <w:rPr>
          <w:lang w:val="pl-PL"/>
        </w:rPr>
        <w:t xml:space="preserve">terminów podanych w Decyzji przeprowadzić można wyłącznie w oparciu o wniosek Głównego Beneficjenta, każdorazowo z wyprzedzeniem, tzn. przed </w:t>
      </w:r>
      <w:r w:rsidR="00132337" w:rsidRPr="00746483">
        <w:rPr>
          <w:lang w:val="pl-PL"/>
        </w:rPr>
        <w:t>upły</w:t>
      </w:r>
      <w:r w:rsidR="00132337">
        <w:rPr>
          <w:lang w:val="pl-PL"/>
        </w:rPr>
        <w:t>w</w:t>
      </w:r>
      <w:r w:rsidR="00132337" w:rsidRPr="00746483">
        <w:rPr>
          <w:lang w:val="pl-PL"/>
        </w:rPr>
        <w:t xml:space="preserve">em </w:t>
      </w:r>
      <w:r w:rsidRPr="00746483">
        <w:rPr>
          <w:lang w:val="pl-PL"/>
        </w:rPr>
        <w:t>danego terminu. Zmiany w Decyzji po upływie terminu nie są możliwe.</w:t>
      </w:r>
    </w:p>
  </w:footnote>
  <w:footnote w:id="7">
    <w:p w14:paraId="623AFBA0" w14:textId="255E1AD0" w:rsidR="00DB6AF1" w:rsidRPr="00746483" w:rsidRDefault="00DB6AF1">
      <w:pPr>
        <w:pStyle w:val="Textpoznpodarou"/>
        <w:rPr>
          <w:lang w:val="pl-PL"/>
        </w:rPr>
      </w:pPr>
      <w:r w:rsidRPr="00746483">
        <w:rPr>
          <w:rStyle w:val="Znakapoznpodarou"/>
          <w:lang w:val="pl-PL"/>
        </w:rPr>
        <w:footnoteRef/>
      </w:r>
      <w:r w:rsidRPr="00746483">
        <w:rPr>
          <w:lang w:val="pl-PL"/>
        </w:rPr>
        <w:t xml:space="preserve">Kontrolerem </w:t>
      </w:r>
      <w:r w:rsidRPr="00746483">
        <w:rPr>
          <w:lang w:val="pl-PL"/>
        </w:rPr>
        <w:t xml:space="preserve">w Republice Czeskiej jest Centrum Rozwoju Regionalnego, zaś w Rzeczpospolitej Polskiej </w:t>
      </w:r>
      <w:r w:rsidR="002C43D9" w:rsidRPr="00C1010E">
        <w:rPr>
          <w:lang w:val="pl-PL"/>
        </w:rPr>
        <w:t>Dolnośląski Urząd Wojewódzki we Wrocławiu</w:t>
      </w:r>
      <w:r w:rsidR="002C43D9">
        <w:rPr>
          <w:lang w:val="pl-PL"/>
        </w:rPr>
        <w:t xml:space="preserve">, </w:t>
      </w:r>
      <w:r w:rsidR="002C43D9" w:rsidRPr="00C1010E">
        <w:rPr>
          <w:lang w:val="pl-PL"/>
        </w:rPr>
        <w:t>Opolski Urząd Wojewódzki w Opolu</w:t>
      </w:r>
      <w:r w:rsidR="002C43D9">
        <w:rPr>
          <w:lang w:val="pl-PL"/>
        </w:rPr>
        <w:t xml:space="preserve"> oraz </w:t>
      </w:r>
      <w:r w:rsidR="002C43D9" w:rsidRPr="00C1010E">
        <w:rPr>
          <w:lang w:val="pl-PL"/>
        </w:rPr>
        <w:t>Śląski Urząd Wojewódzki w Katowicach</w:t>
      </w:r>
      <w:r w:rsidRPr="00746483">
        <w:rPr>
          <w:lang w:val="pl-PL"/>
        </w:rPr>
        <w:t>.</w:t>
      </w:r>
    </w:p>
  </w:footnote>
  <w:footnote w:id="8">
    <w:p w14:paraId="0BD41A0C" w14:textId="48DB73FA" w:rsidR="00DB6AF1" w:rsidRPr="00746483" w:rsidRDefault="00DB6AF1" w:rsidP="00277B18">
      <w:pPr>
        <w:pStyle w:val="Textpoznpodarou"/>
        <w:jc w:val="both"/>
        <w:rPr>
          <w:lang w:val="pl-PL"/>
        </w:rPr>
      </w:pPr>
      <w:r w:rsidRPr="00746483">
        <w:rPr>
          <w:rStyle w:val="Znakapoznpodarou"/>
          <w:lang w:val="pl-PL"/>
        </w:rPr>
        <w:footnoteRef/>
      </w:r>
      <w:r w:rsidRPr="00746483">
        <w:rPr>
          <w:lang w:val="pl-PL"/>
        </w:rPr>
        <w:t xml:space="preserve">Obowiązek ten nie odnosi się do wydatków, które rozliczane są w trybie uproszczonego </w:t>
      </w:r>
      <w:r w:rsidR="007051EB" w:rsidRPr="00746483">
        <w:rPr>
          <w:lang w:val="pl-PL"/>
        </w:rPr>
        <w:t>rozliczania kosztów (</w:t>
      </w:r>
      <w:r w:rsidRPr="00746483">
        <w:rPr>
          <w:lang w:val="pl-PL"/>
        </w:rPr>
        <w:t xml:space="preserve">zgodnie z art. </w:t>
      </w:r>
      <w:r w:rsidR="002F3763" w:rsidRPr="00746483">
        <w:rPr>
          <w:lang w:val="pl-PL"/>
        </w:rPr>
        <w:t>54</w:t>
      </w:r>
      <w:r w:rsidR="007051EB" w:rsidRPr="00746483">
        <w:rPr>
          <w:lang w:val="pl-PL"/>
        </w:rPr>
        <w:t>, 56</w:t>
      </w:r>
      <w:r w:rsidRPr="00746483">
        <w:rPr>
          <w:lang w:val="pl-PL"/>
        </w:rPr>
        <w:t xml:space="preserve"> i</w:t>
      </w:r>
      <w:r w:rsidR="002F3763" w:rsidRPr="00746483">
        <w:rPr>
          <w:lang w:val="pl-PL"/>
        </w:rPr>
        <w:t xml:space="preserve"> 94</w:t>
      </w:r>
      <w:r w:rsidRPr="00746483">
        <w:rPr>
          <w:lang w:val="pl-PL"/>
        </w:rPr>
        <w:t xml:space="preserve"> rozporządzenia Parlamentu Europejskiego i Rady (UE) nr </w:t>
      </w:r>
      <w:r w:rsidR="002F3763" w:rsidRPr="00746483">
        <w:rPr>
          <w:lang w:val="pl-PL"/>
        </w:rPr>
        <w:t>2021/1060)</w:t>
      </w:r>
      <w:r w:rsidRPr="00746483">
        <w:rPr>
          <w:lang w:val="pl-PL"/>
        </w:rPr>
        <w:t xml:space="preserve">. </w:t>
      </w:r>
      <w:r w:rsidR="002F3763" w:rsidRPr="00746483">
        <w:rPr>
          <w:lang w:val="pl-PL"/>
        </w:rPr>
        <w:t xml:space="preserve"> </w:t>
      </w:r>
    </w:p>
  </w:footnote>
  <w:footnote w:id="9">
    <w:p w14:paraId="117F3901" w14:textId="33D6F906" w:rsidR="00DB6AF1" w:rsidRPr="00746483" w:rsidRDefault="00DB6AF1" w:rsidP="00277B18">
      <w:pPr>
        <w:pStyle w:val="Textpoznpodarou"/>
        <w:jc w:val="both"/>
        <w:rPr>
          <w:lang w:val="pl-PL"/>
        </w:rPr>
      </w:pPr>
      <w:r w:rsidRPr="00746483">
        <w:rPr>
          <w:rStyle w:val="Znakapoznpodarou"/>
          <w:lang w:val="pl-PL"/>
        </w:rPr>
        <w:footnoteRef/>
      </w:r>
      <w:r w:rsidRPr="00746483">
        <w:rPr>
          <w:lang w:val="pl-PL"/>
        </w:rPr>
        <w:t xml:space="preserve">W przypadku wydatków, które rozliczane są w trybie uproszczonego wykazywania wydatków, Główny Beneficjent prowadzi księgowość lub ewidencję podatkową, ale </w:t>
      </w:r>
      <w:r w:rsidR="00235C19" w:rsidRPr="00746483">
        <w:rPr>
          <w:lang w:val="pl-PL"/>
        </w:rPr>
        <w:t>nie wykazuje rzeczywiście poniesionych wydatków</w:t>
      </w:r>
      <w:r w:rsidR="00313F9C">
        <w:rPr>
          <w:lang w:val="pl-PL"/>
        </w:rPr>
        <w:t xml:space="preserve">. </w:t>
      </w:r>
      <w:r w:rsidR="00235C19" w:rsidRPr="00746483">
        <w:rPr>
          <w:lang w:val="pl-PL"/>
        </w:rPr>
        <w:t xml:space="preserve">W przypadku </w:t>
      </w:r>
      <w:r w:rsidRPr="00746483">
        <w:rPr>
          <w:lang w:val="pl-PL"/>
        </w:rPr>
        <w:t xml:space="preserve"> uproszczonego </w:t>
      </w:r>
      <w:r w:rsidR="0032086A" w:rsidRPr="00746483">
        <w:rPr>
          <w:lang w:val="pl-PL"/>
        </w:rPr>
        <w:t>rozliczania kosztów</w:t>
      </w:r>
      <w:r w:rsidRPr="00746483">
        <w:rPr>
          <w:lang w:val="pl-PL"/>
        </w:rPr>
        <w:t xml:space="preserve"> należy złożyć dokumenty umożliwiające weryfikację, czy faktycznie zrealizowano działania lub produkty określone w Decyzji. W takich przypadkach Główny Beneficjent nie jest zobowiązany do dokumentowania wydatków we wnioskach o płatność za pomocą konkretnych dowodów księgowych. </w:t>
      </w:r>
    </w:p>
  </w:footnote>
  <w:footnote w:id="10">
    <w:p w14:paraId="093A31F1" w14:textId="2BD42FBF" w:rsidR="00DB6AF1" w:rsidRPr="00314892" w:rsidRDefault="00DB6AF1" w:rsidP="00314892">
      <w:pPr>
        <w:spacing w:after="200" w:line="280" w:lineRule="auto"/>
        <w:rPr>
          <w:lang w:val="pl-PL"/>
        </w:rPr>
      </w:pPr>
      <w:r w:rsidRPr="00314892">
        <w:rPr>
          <w:rStyle w:val="Znakapoznpodarou"/>
          <w:sz w:val="20"/>
          <w:szCs w:val="20"/>
          <w:lang w:val="pl-PL"/>
        </w:rPr>
        <w:footnoteRef/>
      </w:r>
      <w:r w:rsidRPr="00314892">
        <w:rPr>
          <w:sz w:val="20"/>
          <w:szCs w:val="20"/>
          <w:lang w:val="pl-PL"/>
        </w:rPr>
        <w:t xml:space="preserve"> </w:t>
      </w:r>
      <w:r w:rsidRPr="00126224">
        <w:rPr>
          <w:sz w:val="20"/>
          <w:szCs w:val="20"/>
          <w:lang w:val="pl-PL"/>
        </w:rPr>
        <w:t xml:space="preserve">Obowiązek </w:t>
      </w:r>
      <w:r w:rsidRPr="00126224">
        <w:rPr>
          <w:sz w:val="20"/>
          <w:szCs w:val="20"/>
          <w:lang w:val="pl-PL"/>
        </w:rPr>
        <w:t xml:space="preserve">prowadzenia </w:t>
      </w:r>
      <w:r w:rsidR="00126224" w:rsidRPr="00126224">
        <w:rPr>
          <w:sz w:val="20"/>
          <w:szCs w:val="20"/>
          <w:lang w:val="pl-PL"/>
        </w:rPr>
        <w:t>wyodrębnionej</w:t>
      </w:r>
      <w:r w:rsidRPr="00126224">
        <w:rPr>
          <w:sz w:val="20"/>
          <w:szCs w:val="20"/>
          <w:lang w:val="pl-PL"/>
        </w:rPr>
        <w:t xml:space="preserve"> ewidencji księgowej dotyczy także operacji księgowych związanych z przyjęciem dofinansowania z EFRR i budżetu państwa RCz (jeśli dotyczy), w tym przekazania udziału finansowego właściwemu partnerowi projektu.</w:t>
      </w:r>
    </w:p>
  </w:footnote>
  <w:footnote w:id="11">
    <w:p w14:paraId="189AB0FC" w14:textId="77777777" w:rsidR="00DB6AF1" w:rsidRPr="00746483" w:rsidRDefault="00DB6AF1">
      <w:pPr>
        <w:pStyle w:val="Textpoznpodarou"/>
        <w:rPr>
          <w:lang w:val="pl-PL"/>
        </w:rPr>
      </w:pPr>
      <w:r w:rsidRPr="00746483">
        <w:rPr>
          <w:rStyle w:val="Znakapoznpodarou"/>
          <w:lang w:val="pl-PL"/>
        </w:rPr>
        <w:footnoteRef/>
      </w:r>
      <w:r w:rsidRPr="00746483">
        <w:rPr>
          <w:lang w:val="pl-PL"/>
        </w:rPr>
        <w:t xml:space="preserve"> </w:t>
      </w:r>
      <w:r w:rsidRPr="00746483">
        <w:rPr>
          <w:lang w:val="pl-PL"/>
        </w:rPr>
        <w:t xml:space="preserve">Jedynie </w:t>
      </w:r>
      <w:r w:rsidRPr="00746483">
        <w:rPr>
          <w:lang w:val="pl-PL"/>
        </w:rPr>
        <w:t>w uzasadnionych przypadkach beneficjent ma możliwość samodzielnego oznaczenia dokumentów numerem przed ich złożeniem we wniosku o płatność.</w:t>
      </w:r>
    </w:p>
  </w:footnote>
  <w:footnote w:id="12">
    <w:p w14:paraId="01848380" w14:textId="77777777" w:rsidR="00F4520E" w:rsidRPr="00746483" w:rsidRDefault="00F4520E">
      <w:pPr>
        <w:pStyle w:val="Textpoznpodarou"/>
        <w:rPr>
          <w:lang w:val="pl-PL"/>
        </w:rPr>
      </w:pPr>
      <w:r w:rsidRPr="00314892">
        <w:rPr>
          <w:rStyle w:val="Znakapoznpodarou"/>
          <w:lang w:val="pl-PL"/>
        </w:rPr>
        <w:footnoteRef/>
      </w:r>
      <w:r w:rsidRPr="00314892">
        <w:rPr>
          <w:lang w:val="pl-PL"/>
        </w:rPr>
        <w:t xml:space="preserve"> </w:t>
      </w:r>
      <w:r w:rsidRPr="00746483">
        <w:rPr>
          <w:lang w:val="pl-PL"/>
        </w:rPr>
        <w:t xml:space="preserve">Jeżeli </w:t>
      </w:r>
      <w:r w:rsidRPr="00746483">
        <w:rPr>
          <w:lang w:val="pl-PL"/>
        </w:rPr>
        <w:t>Główny Beneficjent prowadzi ewidencję księgową zgodnie z ustawą o rachunkowości lub ewidencję podatkową zgodnie z ustawą o podatku dochodowym, obowiązek jednoznacznego przypisania wszystkich pozycji księgowych do konkretnego projektu nie dotyczy wydatków wykazywanych w formie uproszczonej, chyba że obowiązek ten nakładają przepisy Republiki Czeskiej.</w:t>
      </w:r>
    </w:p>
  </w:footnote>
  <w:footnote w:id="13">
    <w:p w14:paraId="353ED718" w14:textId="77777777" w:rsidR="0032086A" w:rsidRPr="00746483" w:rsidRDefault="0032086A" w:rsidP="0032086A">
      <w:pPr>
        <w:pStyle w:val="Textpoznpodarou"/>
        <w:rPr>
          <w:lang w:val="pl-PL"/>
        </w:rPr>
      </w:pPr>
      <w:r w:rsidRPr="00746483">
        <w:rPr>
          <w:rStyle w:val="Znakapoznpodarou"/>
          <w:lang w:val="pl-PL"/>
        </w:rPr>
        <w:footnoteRef/>
      </w:r>
      <w:r w:rsidRPr="00746483">
        <w:rPr>
          <w:lang w:val="pl-PL"/>
        </w:rPr>
        <w:t xml:space="preserve">W </w:t>
      </w:r>
      <w:r w:rsidRPr="00746483">
        <w:rPr>
          <w:lang w:val="pl-PL"/>
        </w:rPr>
        <w:t>Rzeczpospolitej Polskiej obowiązuje uproszczona forma ewidencji.</w:t>
      </w:r>
    </w:p>
  </w:footnote>
  <w:footnote w:id="14">
    <w:p w14:paraId="72D80D09" w14:textId="5C9A7373" w:rsidR="00F4520E" w:rsidRPr="00746483" w:rsidRDefault="00F4520E">
      <w:pPr>
        <w:pStyle w:val="Textpoznpodarou"/>
        <w:rPr>
          <w:lang w:val="pl-PL"/>
        </w:rPr>
      </w:pPr>
      <w:r w:rsidRPr="00746483">
        <w:rPr>
          <w:rStyle w:val="Znakapoznpodarou"/>
          <w:lang w:val="pl-PL"/>
        </w:rPr>
        <w:footnoteRef/>
      </w:r>
      <w:r w:rsidRPr="00746483">
        <w:rPr>
          <w:lang w:val="pl-PL"/>
        </w:rPr>
        <w:t xml:space="preserve"> </w:t>
      </w:r>
      <w:r w:rsidRPr="00746483">
        <w:rPr>
          <w:lang w:val="pl-PL"/>
        </w:rPr>
        <w:t xml:space="preserve">Obowiązkiem </w:t>
      </w:r>
      <w:r w:rsidRPr="00746483">
        <w:rPr>
          <w:lang w:val="pl-PL"/>
        </w:rPr>
        <w:t>jest przede wszystkim podanie nr projektu z MS</w:t>
      </w:r>
      <w:r w:rsidR="008534A7" w:rsidRPr="00746483">
        <w:rPr>
          <w:lang w:val="pl-PL"/>
        </w:rPr>
        <w:t>20</w:t>
      </w:r>
      <w:r w:rsidRPr="00746483">
        <w:rPr>
          <w:lang w:val="pl-PL"/>
        </w:rPr>
        <w:t>21+.</w:t>
      </w:r>
    </w:p>
  </w:footnote>
  <w:footnote w:id="15">
    <w:p w14:paraId="6579073B" w14:textId="0CA88BE3" w:rsidR="005948CB" w:rsidRPr="00746483" w:rsidRDefault="005948CB">
      <w:pPr>
        <w:pStyle w:val="Textpoznpodarou"/>
        <w:rPr>
          <w:lang w:val="pl-PL"/>
        </w:rPr>
      </w:pPr>
      <w:r w:rsidRPr="00314892">
        <w:rPr>
          <w:rStyle w:val="Znakapoznpodarou"/>
          <w:lang w:val="pl-PL"/>
        </w:rPr>
        <w:footnoteRef/>
      </w:r>
      <w:r w:rsidRPr="00314892">
        <w:rPr>
          <w:lang w:val="pl-PL"/>
        </w:rPr>
        <w:t xml:space="preserve"> </w:t>
      </w:r>
      <w:r w:rsidRPr="00746483">
        <w:rPr>
          <w:lang w:val="pl-PL"/>
        </w:rPr>
        <w:t xml:space="preserve">Obowiązek nie dotyczy na pozycje wydatków wykazywanych w trybie uproszczonego </w:t>
      </w:r>
      <w:r w:rsidR="008534A7" w:rsidRPr="00746483">
        <w:rPr>
          <w:lang w:val="pl-PL"/>
        </w:rPr>
        <w:t>rozliczania kosztów</w:t>
      </w:r>
      <w:r w:rsidRPr="00746483">
        <w:rPr>
          <w:lang w:val="pl-PL"/>
        </w:rPr>
        <w:t>.</w:t>
      </w:r>
    </w:p>
  </w:footnote>
  <w:footnote w:id="16">
    <w:p w14:paraId="6F17511A" w14:textId="77777777" w:rsidR="00DB6AF1" w:rsidRPr="00746483" w:rsidRDefault="00DB6AF1">
      <w:pPr>
        <w:pStyle w:val="Textpoznpodarou"/>
        <w:rPr>
          <w:lang w:val="pl-PL"/>
        </w:rPr>
      </w:pPr>
      <w:r w:rsidRPr="00314892">
        <w:rPr>
          <w:rStyle w:val="Znakapoznpodarou"/>
          <w:lang w:val="pl-PL"/>
        </w:rPr>
        <w:footnoteRef/>
      </w:r>
      <w:r w:rsidRPr="00746483">
        <w:rPr>
          <w:lang w:val="pl-PL"/>
        </w:rPr>
        <w:t xml:space="preserve"> </w:t>
      </w:r>
      <w:r w:rsidRPr="00746483">
        <w:rPr>
          <w:lang w:val="pl-PL"/>
        </w:rPr>
        <w:t>Ewentualnie podwykonawcy, jeśli taka procedura w Republice Czeskiej jest narzucona przez zleceniodawcę zgodnie z §106 ust. nr 134/2016 Sb</w:t>
      </w:r>
    </w:p>
  </w:footnote>
  <w:footnote w:id="17">
    <w:p w14:paraId="6C8F3726" w14:textId="77777777" w:rsidR="00DB6AF1" w:rsidRPr="00746483" w:rsidRDefault="00DB6AF1" w:rsidP="00277B18">
      <w:pPr>
        <w:pStyle w:val="Textpoznpodarou"/>
        <w:jc w:val="both"/>
        <w:rPr>
          <w:lang w:val="pl-PL"/>
        </w:rPr>
      </w:pPr>
      <w:r w:rsidRPr="00746483">
        <w:rPr>
          <w:rStyle w:val="Znakapoznpodarou"/>
          <w:lang w:val="pl-PL"/>
        </w:rPr>
        <w:footnoteRef/>
      </w:r>
      <w:r w:rsidRPr="00746483">
        <w:rPr>
          <w:lang w:val="pl-PL"/>
        </w:rPr>
        <w:t xml:space="preserve">W </w:t>
      </w:r>
      <w:r w:rsidRPr="00746483">
        <w:rPr>
          <w:lang w:val="pl-PL"/>
        </w:rPr>
        <w:t>uzasadnionych przypadkach Główny Beneficjent może samodzielnie oznaczyć dokumenty nazwą i numerem projektu, przed ich wykazaniem we wniosku o płatność.</w:t>
      </w:r>
    </w:p>
  </w:footnote>
  <w:footnote w:id="18">
    <w:p w14:paraId="4D438B70" w14:textId="384CD256" w:rsidR="00DB6AF1" w:rsidRPr="00746483" w:rsidRDefault="00DB6AF1" w:rsidP="00277B18">
      <w:pPr>
        <w:pStyle w:val="Textpoznpodarou"/>
        <w:rPr>
          <w:lang w:val="pl-PL"/>
        </w:rPr>
      </w:pPr>
      <w:r w:rsidRPr="00746483">
        <w:rPr>
          <w:rStyle w:val="Znakapoznpodarou"/>
          <w:lang w:val="pl-PL"/>
        </w:rPr>
        <w:footnoteRef/>
      </w:r>
      <w:r w:rsidRPr="00746483">
        <w:rPr>
          <w:lang w:val="pl-PL"/>
        </w:rPr>
        <w:t xml:space="preserve">Po </w:t>
      </w:r>
      <w:r w:rsidRPr="00746483">
        <w:rPr>
          <w:lang w:val="pl-PL"/>
        </w:rPr>
        <w:t xml:space="preserve">stronie czeskiej reguluje to przede wszystkim ustawa nr 320/2001 Dz. U. Rep. Czeskiej oraz ustawa nr 255/2012 Dz. U., regulamin kontrolny, po stronie polskiej przede wszystkim na podstawie ustawy z dnia </w:t>
      </w:r>
      <w:bookmarkStart w:id="21" w:name="_Hlk121341048"/>
      <w:r w:rsidR="00913D57" w:rsidRPr="00913D57">
        <w:rPr>
          <w:lang w:val="pl-PL"/>
        </w:rPr>
        <w:t>28 kwietnia 2022</w:t>
      </w:r>
      <w:r w:rsidR="00913D57">
        <w:rPr>
          <w:lang w:val="pl-PL"/>
        </w:rPr>
        <w:t xml:space="preserve"> </w:t>
      </w:r>
      <w:r w:rsidRPr="00746483">
        <w:rPr>
          <w:lang w:val="pl-PL"/>
        </w:rPr>
        <w:t xml:space="preserve">r. </w:t>
      </w:r>
      <w:r w:rsidR="00913D57" w:rsidRPr="00913D57">
        <w:rPr>
          <w:lang w:val="pl-PL"/>
        </w:rPr>
        <w:t>o zasadach realizacji zadań finansowanych ze środków europejskich w perspektywie finansowej 2021-2027</w:t>
      </w:r>
      <w:bookmarkEnd w:id="21"/>
      <w:r w:rsidR="00913D57" w:rsidRPr="00913D57" w:rsidDel="00913D57">
        <w:rPr>
          <w:lang w:val="pl-PL"/>
        </w:rPr>
        <w:t xml:space="preserve"> </w:t>
      </w:r>
      <w:r w:rsidRPr="00746483">
        <w:rPr>
          <w:lang w:val="pl-PL"/>
        </w:rPr>
        <w:t>(</w:t>
      </w:r>
      <w:r w:rsidR="00913D57" w:rsidRPr="00913D57">
        <w:rPr>
          <w:lang w:val="pl-PL"/>
        </w:rPr>
        <w:t>Dz.U. 2022 poz. 1079</w:t>
      </w:r>
      <w:r w:rsidR="00913D57">
        <w:rPr>
          <w:lang w:val="pl-PL"/>
        </w:rPr>
        <w:t xml:space="preserve"> </w:t>
      </w:r>
      <w:r w:rsidRPr="00746483">
        <w:rPr>
          <w:lang w:val="pl-PL"/>
        </w:rPr>
        <w:t>z późn. zm.) i odpowiednie przepisy UE.</w:t>
      </w:r>
    </w:p>
  </w:footnote>
  <w:footnote w:id="19">
    <w:p w14:paraId="3349316A" w14:textId="76A26916" w:rsidR="00DB6AF1" w:rsidRPr="00746483" w:rsidRDefault="00DB6AF1" w:rsidP="00277B18">
      <w:pPr>
        <w:pStyle w:val="Textpoznpodarou"/>
        <w:jc w:val="both"/>
        <w:rPr>
          <w:lang w:val="pl-PL"/>
        </w:rPr>
      </w:pPr>
      <w:r w:rsidRPr="00746483">
        <w:rPr>
          <w:rStyle w:val="Znakapoznpodarou"/>
          <w:lang w:val="pl-PL"/>
        </w:rPr>
        <w:footnoteRef/>
      </w:r>
      <w:r w:rsidRPr="00746483">
        <w:rPr>
          <w:lang w:val="pl-PL"/>
        </w:rPr>
        <w:t xml:space="preserve">Po </w:t>
      </w:r>
      <w:r w:rsidRPr="00746483">
        <w:rPr>
          <w:lang w:val="pl-PL"/>
        </w:rPr>
        <w:t xml:space="preserve">stronie czeskiej instytucje uprawnione do realizacji kontroli określa i reguluje w szczególności ustawa nr 320/2001 Dz. U. Rep. Czeskiej, o kontroli finansowej, zgodnie z późniejszymi zmianami. Np. jeżeli projekt jest współfinansowany z budżetu jednostki samorządu terytorialnego (JST), również JST ma prawo do przeprowadzania kontroli; jeżeli środki zapewniają fundusze państwowe, również fundusze te uprawnione są do przeprowadzenia kontroli. Po stronie polskiej przede wszystkim instytucje wyznaczone na podstawie ustawy z dnia </w:t>
      </w:r>
      <w:bookmarkStart w:id="22" w:name="_Hlk121341102"/>
      <w:r w:rsidR="00913D57" w:rsidRPr="00913D57">
        <w:rPr>
          <w:lang w:val="pl-PL"/>
        </w:rPr>
        <w:t xml:space="preserve">28 kwietnia </w:t>
      </w:r>
      <w:r w:rsidR="00913D57" w:rsidRPr="00160FA2">
        <w:rPr>
          <w:lang w:val="pl-PL"/>
        </w:rPr>
        <w:t xml:space="preserve">2022 </w:t>
      </w:r>
      <w:r w:rsidRPr="00160FA2">
        <w:rPr>
          <w:lang w:val="pl-PL"/>
        </w:rPr>
        <w:t>r</w:t>
      </w:r>
      <w:r w:rsidRPr="00746483">
        <w:rPr>
          <w:lang w:val="pl-PL"/>
        </w:rPr>
        <w:t xml:space="preserve">. </w:t>
      </w:r>
      <w:r w:rsidR="00913D57" w:rsidRPr="00913D57">
        <w:rPr>
          <w:lang w:val="pl-PL"/>
        </w:rPr>
        <w:t>o zasadach realizacji zadań finansowanych ze środków europejskich w perspektywie finansowej 2021-2027</w:t>
      </w:r>
      <w:r w:rsidR="00913D57" w:rsidRPr="00913D57" w:rsidDel="00913D57">
        <w:rPr>
          <w:lang w:val="pl-PL"/>
        </w:rPr>
        <w:t xml:space="preserve"> </w:t>
      </w:r>
      <w:bookmarkEnd w:id="22"/>
      <w:r w:rsidR="0032530C">
        <w:rPr>
          <w:lang w:val="pl-PL"/>
        </w:rPr>
        <w:t>(</w:t>
      </w:r>
      <w:r w:rsidR="00913D57" w:rsidRPr="00160FA2">
        <w:rPr>
          <w:lang w:val="pl-PL"/>
        </w:rPr>
        <w:t xml:space="preserve">Dz.U. 2022 poz. 1079 </w:t>
      </w:r>
      <w:r w:rsidRPr="00160FA2">
        <w:rPr>
          <w:lang w:val="pl-PL"/>
        </w:rPr>
        <w:t>z późn. zm.).</w:t>
      </w:r>
    </w:p>
  </w:footnote>
  <w:footnote w:id="20">
    <w:p w14:paraId="19F96E4D" w14:textId="5FFB0D91" w:rsidR="00DB6AF1" w:rsidRPr="00746483" w:rsidRDefault="00DB6AF1" w:rsidP="00277B18">
      <w:pPr>
        <w:pStyle w:val="Textpoznpodarou"/>
        <w:rPr>
          <w:lang w:val="pl-PL"/>
        </w:rPr>
      </w:pPr>
      <w:r w:rsidRPr="00746483">
        <w:rPr>
          <w:rStyle w:val="Znakapoznpodarou"/>
          <w:lang w:val="pl-PL"/>
        </w:rPr>
        <w:footnoteRef/>
      </w:r>
      <w:r w:rsidRPr="00746483">
        <w:rPr>
          <w:lang w:val="pl-PL"/>
        </w:rPr>
        <w:t xml:space="preserve">W </w:t>
      </w:r>
      <w:r w:rsidRPr="00746483">
        <w:rPr>
          <w:lang w:val="pl-PL"/>
        </w:rPr>
        <w:t xml:space="preserve">przypadku Republiki Czeskiej jest to podmiot przyznający dofinansowanie. W przypadku Rzeczpospolitej Polskiej jest to Ministerstwo </w:t>
      </w:r>
      <w:r w:rsidR="005356A1">
        <w:rPr>
          <w:lang w:val="pl-PL"/>
        </w:rPr>
        <w:t>Funduszy i Rozwoju Regionalnego</w:t>
      </w:r>
      <w:r w:rsidRPr="00746483">
        <w:rPr>
          <w:lang w:val="pl-PL"/>
        </w:rPr>
        <w:t xml:space="preserve"> w roli Instytucji Krajowej.</w:t>
      </w:r>
    </w:p>
  </w:footnote>
  <w:footnote w:id="21">
    <w:p w14:paraId="77AFAA0E" w14:textId="0D2EA306" w:rsidR="00AD1ED4" w:rsidRDefault="00D6349E" w:rsidP="00AD1ED4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 w:rsidRPr="003E26B1">
        <w:rPr>
          <w:lang w:val="pl-PL"/>
        </w:rPr>
        <w:t xml:space="preserve"> </w:t>
      </w:r>
      <w:r w:rsidRPr="003E26B1">
        <w:rPr>
          <w:lang w:val="pl-PL"/>
        </w:rPr>
        <w:t xml:space="preserve">W </w:t>
      </w:r>
      <w:r w:rsidRPr="003E26B1">
        <w:rPr>
          <w:lang w:val="pl-PL"/>
        </w:rPr>
        <w:t>przypadku beneficjentów z Republiki Czeskiej dotyczy to ponadprogowego zamówienia publicznego zgodnie z § 25 ustawy nr 134/2016 o zlecaniu zamówień publicznych, z późniejszymi zmianami, w przypadku partnerów z Polski dotyczy to</w:t>
      </w:r>
      <w:r w:rsidR="00AD1ED4">
        <w:rPr>
          <w:lang w:val="pl-PL"/>
        </w:rPr>
        <w:t xml:space="preserve"> </w:t>
      </w:r>
      <w:r w:rsidR="00AD1ED4" w:rsidRPr="003E26B1">
        <w:rPr>
          <w:lang w:val="pl-PL"/>
        </w:rPr>
        <w:t>zamówień publicznych określonych w art. 2 i 3 ustawy Prawo zamówień publicznych</w:t>
      </w:r>
      <w:r w:rsidR="00AD1ED4">
        <w:rPr>
          <w:lang w:val="pl-PL"/>
        </w:rPr>
        <w:t>.</w:t>
      </w:r>
    </w:p>
    <w:p w14:paraId="15BDFDDD" w14:textId="77777777" w:rsidR="00D6349E" w:rsidRPr="003E26B1" w:rsidRDefault="00D6349E" w:rsidP="00D6349E">
      <w:pPr>
        <w:pStyle w:val="Textpoznpodarou"/>
        <w:rPr>
          <w:lang w:val="pl-PL"/>
        </w:rPr>
      </w:pPr>
    </w:p>
  </w:footnote>
  <w:footnote w:id="22">
    <w:p w14:paraId="05185925" w14:textId="591C2D4D" w:rsidR="00DB6AF1" w:rsidRPr="00746483" w:rsidRDefault="00DB6AF1" w:rsidP="00277B18">
      <w:pPr>
        <w:pStyle w:val="Textpoznpodarou"/>
        <w:rPr>
          <w:lang w:val="pl-PL"/>
        </w:rPr>
      </w:pPr>
      <w:r w:rsidRPr="00746483">
        <w:rPr>
          <w:rStyle w:val="Znakapoznpodarou"/>
          <w:lang w:val="pl-PL"/>
        </w:rPr>
        <w:footnoteRef/>
      </w:r>
      <w:r w:rsidRPr="00746483">
        <w:rPr>
          <w:lang w:val="pl-PL"/>
        </w:rPr>
        <w:t xml:space="preserve">Za dzień doręczenia uznaje się dzień odbioru powiadomienia przez Głównego Beneficjenta dofinansowania. Jeżeli adresat nie odbierze przesyłki w ciągu 10 dni </w:t>
      </w:r>
      <w:r w:rsidR="00E93FF1">
        <w:rPr>
          <w:lang w:val="pl-PL"/>
        </w:rPr>
        <w:t xml:space="preserve">kalendarzowych </w:t>
      </w:r>
      <w:r w:rsidRPr="00746483">
        <w:rPr>
          <w:lang w:val="pl-PL"/>
        </w:rPr>
        <w:t>od dnia, kiedy została ona przygotowana do odbioru, w ostatnim dniu tego okresu przesyłka uznana zostanie za odebraną.</w:t>
      </w:r>
      <w:r w:rsidR="008B1082" w:rsidRPr="00746483">
        <w:rPr>
          <w:lang w:val="pl-PL"/>
        </w:rPr>
        <w:t xml:space="preserve"> W przypadku doręczenia wezwania przy użyciu systemu monitorującego MS2021+ </w:t>
      </w:r>
      <w:r w:rsidR="00E93FF1">
        <w:rPr>
          <w:lang w:val="pl-PL"/>
        </w:rPr>
        <w:t>(cz</w:t>
      </w:r>
      <w:r w:rsidR="00E93FF1">
        <w:rPr>
          <w:rFonts w:cs="Arial"/>
          <w:lang w:val="pl-PL"/>
        </w:rPr>
        <w:t>ę</w:t>
      </w:r>
      <w:r w:rsidR="00E93FF1">
        <w:rPr>
          <w:lang w:val="pl-PL"/>
        </w:rPr>
        <w:t xml:space="preserve">ść IS KP2021+) </w:t>
      </w:r>
      <w:r w:rsidR="008B1082" w:rsidRPr="00746483">
        <w:rPr>
          <w:lang w:val="pl-PL"/>
        </w:rPr>
        <w:t xml:space="preserve">obowiązują postanowienia określone w części V, w </w:t>
      </w:r>
      <w:r w:rsidR="007A2DA5">
        <w:rPr>
          <w:lang w:val="pl-PL"/>
        </w:rPr>
        <w:t>punkt</w:t>
      </w:r>
      <w:r w:rsidR="008B1082" w:rsidRPr="00746483">
        <w:rPr>
          <w:lang w:val="pl-PL"/>
        </w:rPr>
        <w:t xml:space="preserve"> 5 </w:t>
      </w:r>
      <w:r w:rsidR="00E234E9">
        <w:rPr>
          <w:lang w:val="pl-PL"/>
        </w:rPr>
        <w:t>niniejszej</w:t>
      </w:r>
      <w:r w:rsidR="00E234E9" w:rsidRPr="00746483">
        <w:rPr>
          <w:lang w:val="pl-PL"/>
        </w:rPr>
        <w:t xml:space="preserve"> </w:t>
      </w:r>
      <w:r w:rsidR="008B1082" w:rsidRPr="00746483">
        <w:rPr>
          <w:lang w:val="pl-PL"/>
        </w:rPr>
        <w:t>Decyzji.</w:t>
      </w:r>
    </w:p>
  </w:footnote>
  <w:footnote w:id="23">
    <w:p w14:paraId="12208B27" w14:textId="19F0E284" w:rsidR="00DB6AF1" w:rsidRPr="00746483" w:rsidRDefault="00DB6AF1" w:rsidP="00277B18">
      <w:pPr>
        <w:pStyle w:val="Textpoznpodarou"/>
        <w:jc w:val="both"/>
        <w:rPr>
          <w:lang w:val="pl-PL"/>
        </w:rPr>
      </w:pPr>
      <w:r w:rsidRPr="00746483">
        <w:rPr>
          <w:rStyle w:val="Znakapoznpodarou"/>
          <w:lang w:val="pl-PL"/>
        </w:rPr>
        <w:footnoteRef/>
      </w:r>
      <w:r w:rsidRPr="00746483">
        <w:rPr>
          <w:lang w:val="pl-PL"/>
        </w:rPr>
        <w:t xml:space="preserve">Wszelkie </w:t>
      </w:r>
      <w:r w:rsidRPr="00746483">
        <w:rPr>
          <w:lang w:val="pl-PL"/>
        </w:rPr>
        <w:t>zmiany w Decyzji muszą być zgodne z ustawą nr 218/2000 Dz. U. Rep</w:t>
      </w:r>
      <w:r w:rsidR="00962D9B" w:rsidRPr="00746483">
        <w:rPr>
          <w:lang w:val="pl-PL"/>
        </w:rPr>
        <w:t>ubliki</w:t>
      </w:r>
      <w:r w:rsidRPr="00746483">
        <w:rPr>
          <w:lang w:val="pl-PL"/>
        </w:rPr>
        <w:t xml:space="preserve"> Czeskiej. Decyzja może być zmieniona wyłącznie w oparciu o wniosek Głównego Beneficjenta dofinansowania na jego korzyść. Przy zmianie decyzji o przyznaniu dofinansowania pierwotna decyzja pozostaje niezmieniona, zaś podmiot przyznający dofinansowanie wydaje tzw. decyzję o zmianie decyzji o przyznaniu dofinansowania (należy podać dokładną specyfikację pierwotnej decyzji), w której określa się, jakie kwestie pierwotnej decyzji ulegają zmianie, ewentualnie które z nich zostają zastąpione. Wszystkie decyzje o zmianie należy ponumerować.</w:t>
      </w:r>
    </w:p>
    <w:p w14:paraId="05871F2E" w14:textId="5D35DD69" w:rsidR="00DB6AF1" w:rsidRPr="00746483" w:rsidRDefault="00DB6AF1" w:rsidP="00277B18">
      <w:pPr>
        <w:pStyle w:val="Textpoznpodarou"/>
        <w:ind w:firstLine="0"/>
        <w:jc w:val="both"/>
        <w:rPr>
          <w:lang w:val="pl-PL"/>
        </w:rPr>
      </w:pPr>
      <w:r w:rsidRPr="00746483">
        <w:rPr>
          <w:lang w:val="pl-PL"/>
        </w:rPr>
        <w:t xml:space="preserve">W przypadkach, w których ustawa nr 218/2000 Dz. U. Rep. Czeskiej umożliwia zmianę osoby Głównego Beneficjenta dofinansowania, konieczne jest, aby podmiot </w:t>
      </w:r>
      <w:r w:rsidR="00962D9B" w:rsidRPr="00746483">
        <w:rPr>
          <w:lang w:val="pl-PL"/>
        </w:rPr>
        <w:t xml:space="preserve">udzielający </w:t>
      </w:r>
      <w:r w:rsidRPr="00746483">
        <w:rPr>
          <w:lang w:val="pl-PL"/>
        </w:rPr>
        <w:t xml:space="preserve">dofinansowanie miał pewność co do tego, że nowopowstały podmiot przejął prawa i obowiązki pierwotnego podmiotu, którego dotyczyło przyznane dofinansowanie. </w:t>
      </w:r>
    </w:p>
  </w:footnote>
  <w:footnote w:id="24">
    <w:p w14:paraId="2BC3CA2E" w14:textId="77777777" w:rsidR="00DB6AF1" w:rsidRPr="00746483" w:rsidRDefault="00DB6AF1" w:rsidP="00277B18">
      <w:pPr>
        <w:pStyle w:val="Textpoznpodarou"/>
        <w:jc w:val="both"/>
        <w:rPr>
          <w:lang w:val="pl-PL"/>
        </w:rPr>
      </w:pPr>
      <w:r w:rsidRPr="00746483">
        <w:rPr>
          <w:rStyle w:val="Znakapoznpodarou"/>
          <w:lang w:val="pl-PL"/>
        </w:rPr>
        <w:footnoteRef/>
      </w:r>
      <w:r w:rsidRPr="00746483">
        <w:rPr>
          <w:lang w:val="pl-PL"/>
        </w:rPr>
        <w:t xml:space="preserve">Postanowienie </w:t>
      </w:r>
      <w:r w:rsidRPr="00746483">
        <w:rPr>
          <w:lang w:val="pl-PL"/>
        </w:rPr>
        <w:t xml:space="preserve">to nie ma zastosowania w postępowaniu odebrania dofinansowania zgodnie z § 15 ustawy nr 218/2000 Dz. U. Republiki Czeskiej </w:t>
      </w:r>
    </w:p>
  </w:footnote>
  <w:footnote w:id="25">
    <w:p w14:paraId="552D0AC4" w14:textId="6BCFC5AF" w:rsidR="00E61C1F" w:rsidRPr="00C769C8" w:rsidRDefault="00E61C1F">
      <w:pPr>
        <w:pStyle w:val="Textpoznpodarou"/>
        <w:rPr>
          <w:lang w:val="pl-PL"/>
        </w:rPr>
      </w:pPr>
      <w:r w:rsidRPr="00C769C8">
        <w:rPr>
          <w:rStyle w:val="Znakapoznpodarou"/>
          <w:lang w:val="pl-PL"/>
        </w:rPr>
        <w:footnoteRef/>
      </w:r>
      <w:r w:rsidRPr="00C769C8">
        <w:rPr>
          <w:lang w:val="pl-PL"/>
        </w:rPr>
        <w:t xml:space="preserve"> </w:t>
      </w:r>
      <w:r w:rsidRPr="00C769C8">
        <w:rPr>
          <w:lang w:val="pl-PL"/>
        </w:rPr>
        <w:t>IS KP2021+ jest częścią systemu monitorującego MS2021+ przeznaczon</w:t>
      </w:r>
      <w:r w:rsidR="009D45B8" w:rsidRPr="00C769C8">
        <w:rPr>
          <w:lang w:val="pl-PL"/>
        </w:rPr>
        <w:t>ą</w:t>
      </w:r>
      <w:r w:rsidRPr="00C769C8">
        <w:rPr>
          <w:lang w:val="pl-PL"/>
        </w:rPr>
        <w:t xml:space="preserve"> dla wnioskodawcy/beneficjenta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3F4D7" w14:textId="77777777" w:rsidR="004D768D" w:rsidRDefault="004D76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C354C" w14:textId="5F3EE688" w:rsidR="000B7DDC" w:rsidRPr="002808AC" w:rsidRDefault="000B7DDC" w:rsidP="000B7DDC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23E9B78" wp14:editId="7588A32F">
          <wp:simplePos x="0" y="0"/>
          <wp:positionH relativeFrom="column">
            <wp:posOffset>-57785</wp:posOffset>
          </wp:positionH>
          <wp:positionV relativeFrom="paragraph">
            <wp:posOffset>-102235</wp:posOffset>
          </wp:positionV>
          <wp:extent cx="1697990" cy="391160"/>
          <wp:effectExtent l="0" t="0" r="0" b="8890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7801F46" wp14:editId="193CA6B6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5" name="Volný tvar: obrazec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1C7473A9" id="Volný tvar: obrazec 15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46D44545" wp14:editId="587247E6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22F7AFBA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0B7DDC">
      <w:rPr>
        <w:rFonts w:ascii="Calibri" w:hAnsi="Calibri" w:cs="Calibri"/>
        <w:sz w:val="16"/>
        <w:szCs w:val="16"/>
        <w:lang w:val="pl-PL"/>
      </w:rPr>
      <w:t xml:space="preserve">Příručka pro žadatele, verze </w:t>
    </w:r>
    <w:r w:rsidR="004D768D">
      <w:rPr>
        <w:rFonts w:ascii="Calibri" w:hAnsi="Calibri" w:cs="Calibri"/>
        <w:sz w:val="16"/>
        <w:szCs w:val="16"/>
        <w:lang w:val="pl-PL"/>
      </w:rPr>
      <w:t>4</w:t>
    </w:r>
    <w:r w:rsidR="004D768D" w:rsidRPr="000B7DDC">
      <w:rPr>
        <w:rFonts w:ascii="Calibri" w:hAnsi="Calibri" w:cs="Calibri"/>
        <w:sz w:val="16"/>
        <w:szCs w:val="16"/>
        <w:lang w:val="pl-PL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4D768D">
      <w:rPr>
        <w:rFonts w:ascii="Calibri" w:hAnsi="Calibri" w:cs="Calibri"/>
        <w:sz w:val="16"/>
        <w:szCs w:val="16"/>
        <w:lang w:val="pl-PL"/>
      </w:rPr>
      <w:t>4</w:t>
    </w:r>
  </w:p>
  <w:p w14:paraId="7C1559F4" w14:textId="439E1883" w:rsidR="00DB6AF1" w:rsidRPr="004C15CE" w:rsidRDefault="000B7DDC" w:rsidP="000B7DDC">
    <w:pPr>
      <w:pStyle w:val="Zhlav"/>
      <w:rPr>
        <w:rFonts w:cs="Arial"/>
        <w:lang w:val="pl-PL"/>
      </w:rPr>
    </w:pPr>
    <w:r w:rsidRPr="00EF4FA6">
      <w:rPr>
        <w:rFonts w:ascii="Calibri" w:hAnsi="Calibri" w:cs="Calibri"/>
        <w:sz w:val="16"/>
        <w:szCs w:val="16"/>
        <w:lang w:val="pl-PL"/>
      </w:rPr>
      <w:tab/>
    </w:r>
    <w:r w:rsidRPr="00EF4FA6">
      <w:rPr>
        <w:rFonts w:ascii="Calibri" w:hAnsi="Calibri" w:cs="Calibri"/>
        <w:sz w:val="16"/>
        <w:szCs w:val="16"/>
        <w:lang w:val="pl-PL"/>
      </w:rPr>
      <w:tab/>
    </w:r>
    <w:proofErr w:type="spellStart"/>
    <w:r w:rsidRPr="002808AC">
      <w:rPr>
        <w:rFonts w:ascii="Calibri" w:hAnsi="Calibri" w:cs="Calibri"/>
        <w:sz w:val="16"/>
        <w:szCs w:val="16"/>
      </w:rPr>
      <w:t>Příloha</w:t>
    </w:r>
    <w:proofErr w:type="spellEnd"/>
    <w:r w:rsidRPr="002808AC">
      <w:rPr>
        <w:rFonts w:ascii="Calibri" w:hAnsi="Calibri" w:cs="Calibri"/>
        <w:sz w:val="16"/>
        <w:szCs w:val="16"/>
      </w:rPr>
      <w:t xml:space="preserve"> č. </w:t>
    </w:r>
    <w:r w:rsidR="00EF4FA6">
      <w:rPr>
        <w:rFonts w:ascii="Calibri" w:hAnsi="Calibri" w:cs="Calibri"/>
        <w:sz w:val="16"/>
        <w:szCs w:val="16"/>
      </w:rPr>
      <w:t>1</w:t>
    </w:r>
    <w:r w:rsidR="00F95F13">
      <w:rPr>
        <w:rFonts w:ascii="Calibri" w:hAnsi="Calibri" w:cs="Calibri"/>
        <w:sz w:val="16"/>
        <w:szCs w:val="16"/>
      </w:rPr>
      <w:t>3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 w:rsidR="00EF4FA6">
      <w:rPr>
        <w:rFonts w:ascii="Calibri" w:hAnsi="Calibri" w:cs="Calibri"/>
        <w:sz w:val="16"/>
        <w:szCs w:val="16"/>
        <w:lang w:val="pl-PL"/>
      </w:rPr>
      <w:t>1</w:t>
    </w:r>
    <w:r w:rsidR="00F95F13">
      <w:rPr>
        <w:rFonts w:ascii="Calibri" w:hAnsi="Calibri" w:cs="Calibri"/>
        <w:sz w:val="16"/>
        <w:szCs w:val="16"/>
        <w:lang w:val="pl-PL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4B139" w14:textId="77777777" w:rsidR="004D768D" w:rsidRDefault="004D76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886DC7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744343"/>
    <w:multiLevelType w:val="hybridMultilevel"/>
    <w:tmpl w:val="2C6A6AF8"/>
    <w:lvl w:ilvl="0" w:tplc="EC122044">
      <w:start w:val="1"/>
      <w:numFmt w:val="decimal"/>
      <w:lvlText w:val="4.%1"/>
      <w:lvlJc w:val="left"/>
      <w:pPr>
        <w:ind w:left="1638" w:hanging="360"/>
      </w:pPr>
      <w:rPr>
        <w:rFonts w:hint="default"/>
      </w:rPr>
    </w:lvl>
    <w:lvl w:ilvl="1" w:tplc="4F387A44">
      <w:start w:val="1"/>
      <w:numFmt w:val="decimal"/>
      <w:lvlText w:val="4.%2"/>
      <w:lvlJc w:val="left"/>
      <w:pPr>
        <w:ind w:left="1353" w:hanging="360"/>
      </w:pPr>
      <w:rPr>
        <w:rFonts w:hint="default"/>
      </w:rPr>
    </w:lvl>
    <w:lvl w:ilvl="2" w:tplc="E722A5A8" w:tentative="1">
      <w:start w:val="1"/>
      <w:numFmt w:val="lowerRoman"/>
      <w:lvlText w:val="%3."/>
      <w:lvlJc w:val="right"/>
      <w:pPr>
        <w:ind w:left="2160" w:hanging="180"/>
      </w:pPr>
    </w:lvl>
    <w:lvl w:ilvl="3" w:tplc="A2E00F54" w:tentative="1">
      <w:start w:val="1"/>
      <w:numFmt w:val="decimal"/>
      <w:lvlText w:val="%4."/>
      <w:lvlJc w:val="left"/>
      <w:pPr>
        <w:ind w:left="2880" w:hanging="360"/>
      </w:pPr>
    </w:lvl>
    <w:lvl w:ilvl="4" w:tplc="594E8388" w:tentative="1">
      <w:start w:val="1"/>
      <w:numFmt w:val="lowerLetter"/>
      <w:lvlText w:val="%5."/>
      <w:lvlJc w:val="left"/>
      <w:pPr>
        <w:ind w:left="3600" w:hanging="360"/>
      </w:pPr>
    </w:lvl>
    <w:lvl w:ilvl="5" w:tplc="88244EE0" w:tentative="1">
      <w:start w:val="1"/>
      <w:numFmt w:val="lowerRoman"/>
      <w:lvlText w:val="%6."/>
      <w:lvlJc w:val="right"/>
      <w:pPr>
        <w:ind w:left="4320" w:hanging="180"/>
      </w:pPr>
    </w:lvl>
    <w:lvl w:ilvl="6" w:tplc="48E04352" w:tentative="1">
      <w:start w:val="1"/>
      <w:numFmt w:val="decimal"/>
      <w:lvlText w:val="%7."/>
      <w:lvlJc w:val="left"/>
      <w:pPr>
        <w:ind w:left="5040" w:hanging="360"/>
      </w:pPr>
    </w:lvl>
    <w:lvl w:ilvl="7" w:tplc="02D4E480" w:tentative="1">
      <w:start w:val="1"/>
      <w:numFmt w:val="lowerLetter"/>
      <w:lvlText w:val="%8."/>
      <w:lvlJc w:val="left"/>
      <w:pPr>
        <w:ind w:left="5760" w:hanging="360"/>
      </w:pPr>
    </w:lvl>
    <w:lvl w:ilvl="8" w:tplc="8918CE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37074"/>
    <w:multiLevelType w:val="hybridMultilevel"/>
    <w:tmpl w:val="9340A638"/>
    <w:lvl w:ilvl="0" w:tplc="A4480600">
      <w:start w:val="1"/>
      <w:numFmt w:val="decimal"/>
      <w:lvlText w:val="12.%1"/>
      <w:lvlJc w:val="left"/>
      <w:pPr>
        <w:ind w:left="786" w:hanging="360"/>
      </w:pPr>
      <w:rPr>
        <w:rFonts w:hint="default"/>
      </w:rPr>
    </w:lvl>
    <w:lvl w:ilvl="1" w:tplc="72D4C636" w:tentative="1">
      <w:start w:val="1"/>
      <w:numFmt w:val="lowerLetter"/>
      <w:lvlText w:val="%2."/>
      <w:lvlJc w:val="left"/>
      <w:pPr>
        <w:ind w:left="1440" w:hanging="360"/>
      </w:pPr>
    </w:lvl>
    <w:lvl w:ilvl="2" w:tplc="9FA2A28C" w:tentative="1">
      <w:start w:val="1"/>
      <w:numFmt w:val="lowerRoman"/>
      <w:lvlText w:val="%3."/>
      <w:lvlJc w:val="right"/>
      <w:pPr>
        <w:ind w:left="2160" w:hanging="180"/>
      </w:pPr>
    </w:lvl>
    <w:lvl w:ilvl="3" w:tplc="75A80C8C" w:tentative="1">
      <w:start w:val="1"/>
      <w:numFmt w:val="decimal"/>
      <w:lvlText w:val="%4."/>
      <w:lvlJc w:val="left"/>
      <w:pPr>
        <w:ind w:left="2880" w:hanging="360"/>
      </w:pPr>
    </w:lvl>
    <w:lvl w:ilvl="4" w:tplc="A2E0D4F4" w:tentative="1">
      <w:start w:val="1"/>
      <w:numFmt w:val="lowerLetter"/>
      <w:lvlText w:val="%5."/>
      <w:lvlJc w:val="left"/>
      <w:pPr>
        <w:ind w:left="3600" w:hanging="360"/>
      </w:pPr>
    </w:lvl>
    <w:lvl w:ilvl="5" w:tplc="2D8CBE48" w:tentative="1">
      <w:start w:val="1"/>
      <w:numFmt w:val="lowerRoman"/>
      <w:lvlText w:val="%6."/>
      <w:lvlJc w:val="right"/>
      <w:pPr>
        <w:ind w:left="4320" w:hanging="180"/>
      </w:pPr>
    </w:lvl>
    <w:lvl w:ilvl="6" w:tplc="4190AD76" w:tentative="1">
      <w:start w:val="1"/>
      <w:numFmt w:val="decimal"/>
      <w:lvlText w:val="%7."/>
      <w:lvlJc w:val="left"/>
      <w:pPr>
        <w:ind w:left="5040" w:hanging="360"/>
      </w:pPr>
    </w:lvl>
    <w:lvl w:ilvl="7" w:tplc="F80206DC" w:tentative="1">
      <w:start w:val="1"/>
      <w:numFmt w:val="lowerLetter"/>
      <w:lvlText w:val="%8."/>
      <w:lvlJc w:val="left"/>
      <w:pPr>
        <w:ind w:left="5760" w:hanging="360"/>
      </w:pPr>
    </w:lvl>
    <w:lvl w:ilvl="8" w:tplc="703AF4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B6808"/>
    <w:multiLevelType w:val="hybridMultilevel"/>
    <w:tmpl w:val="FC42341A"/>
    <w:lvl w:ilvl="0" w:tplc="4E62995A">
      <w:start w:val="1"/>
      <w:numFmt w:val="decimal"/>
      <w:pStyle w:val="Nadpis3"/>
      <w:lvlText w:val="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91537"/>
    <w:multiLevelType w:val="multilevel"/>
    <w:tmpl w:val="9A88E260"/>
    <w:lvl w:ilvl="0">
      <w:start w:val="1"/>
      <w:numFmt w:val="decimal"/>
      <w:pStyle w:val="l3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903757B"/>
    <w:multiLevelType w:val="multilevel"/>
    <w:tmpl w:val="BAB8BA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10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14B75F2F"/>
    <w:multiLevelType w:val="multilevel"/>
    <w:tmpl w:val="1FD205FC"/>
    <w:lvl w:ilvl="0">
      <w:start w:val="1"/>
      <w:numFmt w:val="decimal"/>
      <w:pStyle w:val="StylZkladntext2Zarovnatdobloku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12333C"/>
    <w:multiLevelType w:val="multilevel"/>
    <w:tmpl w:val="66F652BE"/>
    <w:lvl w:ilvl="0">
      <w:start w:val="1"/>
      <w:numFmt w:val="lowerLetter"/>
      <w:pStyle w:val="slovanseznam"/>
      <w:lvlText w:val="%1)"/>
      <w:lvlJc w:val="left"/>
      <w:pPr>
        <w:tabs>
          <w:tab w:val="num" w:pos="360"/>
        </w:tabs>
        <w:ind w:left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426768"/>
    <w:multiLevelType w:val="multilevel"/>
    <w:tmpl w:val="FA4251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8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17C231DA"/>
    <w:multiLevelType w:val="hybridMultilevel"/>
    <w:tmpl w:val="41CA5FD0"/>
    <w:lvl w:ilvl="0" w:tplc="44FC02B6">
      <w:start w:val="1"/>
      <w:numFmt w:val="decimal"/>
      <w:pStyle w:val="Nadpis2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A41624D"/>
    <w:multiLevelType w:val="singleLevel"/>
    <w:tmpl w:val="8C4E3622"/>
    <w:lvl w:ilvl="0">
      <w:start w:val="1"/>
      <w:numFmt w:val="decimal"/>
      <w:pStyle w:val="odrakyslalev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49E7F45"/>
    <w:multiLevelType w:val="multilevel"/>
    <w:tmpl w:val="9C1686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299328F8"/>
    <w:multiLevelType w:val="multilevel"/>
    <w:tmpl w:val="E4400D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044395"/>
    <w:multiLevelType w:val="multilevel"/>
    <w:tmpl w:val="C17EB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DAC6529"/>
    <w:multiLevelType w:val="hybridMultilevel"/>
    <w:tmpl w:val="8D9637FE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>
      <w:start w:val="1"/>
      <w:numFmt w:val="lowerLetter"/>
      <w:lvlText w:val="%2."/>
      <w:lvlJc w:val="left"/>
      <w:pPr>
        <w:ind w:left="1500" w:hanging="360"/>
      </w:pPr>
    </w:lvl>
    <w:lvl w:ilvl="2" w:tplc="FFFFFFFF">
      <w:start w:val="1"/>
      <w:numFmt w:val="lowerRoman"/>
      <w:lvlText w:val="%3."/>
      <w:lvlJc w:val="right"/>
      <w:pPr>
        <w:ind w:left="2220" w:hanging="180"/>
      </w:pPr>
    </w:lvl>
    <w:lvl w:ilvl="3" w:tplc="FFFFFFFF">
      <w:start w:val="1"/>
      <w:numFmt w:val="decimal"/>
      <w:lvlText w:val="%4."/>
      <w:lvlJc w:val="left"/>
      <w:pPr>
        <w:ind w:left="2940" w:hanging="360"/>
      </w:pPr>
    </w:lvl>
    <w:lvl w:ilvl="4" w:tplc="FFFFFFFF">
      <w:start w:val="1"/>
      <w:numFmt w:val="lowerLetter"/>
      <w:lvlText w:val="%5."/>
      <w:lvlJc w:val="left"/>
      <w:pPr>
        <w:ind w:left="3660" w:hanging="360"/>
      </w:pPr>
    </w:lvl>
    <w:lvl w:ilvl="5" w:tplc="FFFFFFFF">
      <w:start w:val="1"/>
      <w:numFmt w:val="lowerRoman"/>
      <w:lvlText w:val="%6."/>
      <w:lvlJc w:val="right"/>
      <w:pPr>
        <w:ind w:left="4380" w:hanging="180"/>
      </w:pPr>
    </w:lvl>
    <w:lvl w:ilvl="6" w:tplc="FFFFFFFF">
      <w:start w:val="1"/>
      <w:numFmt w:val="decimal"/>
      <w:lvlText w:val="%7."/>
      <w:lvlJc w:val="left"/>
      <w:pPr>
        <w:ind w:left="5100" w:hanging="360"/>
      </w:pPr>
    </w:lvl>
    <w:lvl w:ilvl="7" w:tplc="FFFFFFFF">
      <w:start w:val="1"/>
      <w:numFmt w:val="lowerLetter"/>
      <w:lvlText w:val="%8."/>
      <w:lvlJc w:val="left"/>
      <w:pPr>
        <w:ind w:left="5820" w:hanging="360"/>
      </w:pPr>
    </w:lvl>
    <w:lvl w:ilvl="8" w:tplc="FFFFFFFF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440E1F6C"/>
    <w:multiLevelType w:val="multilevel"/>
    <w:tmpl w:val="BB4CD25C"/>
    <w:lvl w:ilvl="0">
      <w:start w:val="1"/>
      <w:numFmt w:val="upperRoman"/>
      <w:suff w:val="space"/>
      <w:lvlText w:val="Část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Restart w:val="1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91C6D75"/>
    <w:multiLevelType w:val="hybridMultilevel"/>
    <w:tmpl w:val="D9FE9ADA"/>
    <w:lvl w:ilvl="0" w:tplc="BC36F05C">
      <w:numFmt w:val="bullet"/>
      <w:pStyle w:val="Normlnsodrkami"/>
      <w:lvlText w:val="-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7C5C5608">
      <w:start w:val="1"/>
      <w:numFmt w:val="bullet"/>
      <w:lvlText w:val="o"/>
      <w:lvlJc w:val="left"/>
      <w:pPr>
        <w:tabs>
          <w:tab w:val="num" w:pos="-349"/>
        </w:tabs>
        <w:ind w:left="-349" w:hanging="360"/>
      </w:pPr>
      <w:rPr>
        <w:rFonts w:ascii="Courier New" w:hAnsi="Courier New" w:cs="Courier New" w:hint="default"/>
      </w:rPr>
    </w:lvl>
    <w:lvl w:ilvl="2" w:tplc="08AC1280" w:tentative="1">
      <w:start w:val="1"/>
      <w:numFmt w:val="bullet"/>
      <w:lvlText w:val=""/>
      <w:lvlJc w:val="left"/>
      <w:pPr>
        <w:tabs>
          <w:tab w:val="num" w:pos="371"/>
        </w:tabs>
        <w:ind w:left="371" w:hanging="360"/>
      </w:pPr>
      <w:rPr>
        <w:rFonts w:ascii="Wingdings" w:hAnsi="Wingdings" w:cs="Wingdings" w:hint="default"/>
      </w:rPr>
    </w:lvl>
    <w:lvl w:ilvl="3" w:tplc="17D6DD34" w:tentative="1">
      <w:start w:val="1"/>
      <w:numFmt w:val="bullet"/>
      <w:lvlText w:val=""/>
      <w:lvlJc w:val="left"/>
      <w:pPr>
        <w:tabs>
          <w:tab w:val="num" w:pos="1091"/>
        </w:tabs>
        <w:ind w:left="1091" w:hanging="360"/>
      </w:pPr>
      <w:rPr>
        <w:rFonts w:ascii="Symbol" w:hAnsi="Symbol" w:cs="Symbol" w:hint="default"/>
      </w:rPr>
    </w:lvl>
    <w:lvl w:ilvl="4" w:tplc="8CDC773C" w:tentative="1">
      <w:start w:val="1"/>
      <w:numFmt w:val="bullet"/>
      <w:lvlText w:val="o"/>
      <w:lvlJc w:val="left"/>
      <w:pPr>
        <w:tabs>
          <w:tab w:val="num" w:pos="1811"/>
        </w:tabs>
        <w:ind w:left="1811" w:hanging="360"/>
      </w:pPr>
      <w:rPr>
        <w:rFonts w:ascii="Courier New" w:hAnsi="Courier New" w:cs="Courier New" w:hint="default"/>
      </w:rPr>
    </w:lvl>
    <w:lvl w:ilvl="5" w:tplc="94504A38" w:tentative="1">
      <w:start w:val="1"/>
      <w:numFmt w:val="bullet"/>
      <w:lvlText w:val=""/>
      <w:lvlJc w:val="left"/>
      <w:pPr>
        <w:tabs>
          <w:tab w:val="num" w:pos="2531"/>
        </w:tabs>
        <w:ind w:left="2531" w:hanging="360"/>
      </w:pPr>
      <w:rPr>
        <w:rFonts w:ascii="Wingdings" w:hAnsi="Wingdings" w:cs="Wingdings" w:hint="default"/>
      </w:rPr>
    </w:lvl>
    <w:lvl w:ilvl="6" w:tplc="A8C64E7C" w:tentative="1">
      <w:start w:val="1"/>
      <w:numFmt w:val="bullet"/>
      <w:lvlText w:val=""/>
      <w:lvlJc w:val="left"/>
      <w:pPr>
        <w:tabs>
          <w:tab w:val="num" w:pos="3251"/>
        </w:tabs>
        <w:ind w:left="3251" w:hanging="360"/>
      </w:pPr>
      <w:rPr>
        <w:rFonts w:ascii="Symbol" w:hAnsi="Symbol" w:cs="Symbol" w:hint="default"/>
      </w:rPr>
    </w:lvl>
    <w:lvl w:ilvl="7" w:tplc="42308992" w:tentative="1">
      <w:start w:val="1"/>
      <w:numFmt w:val="bullet"/>
      <w:lvlText w:val="o"/>
      <w:lvlJc w:val="left"/>
      <w:pPr>
        <w:tabs>
          <w:tab w:val="num" w:pos="3971"/>
        </w:tabs>
        <w:ind w:left="3971" w:hanging="360"/>
      </w:pPr>
      <w:rPr>
        <w:rFonts w:ascii="Courier New" w:hAnsi="Courier New" w:cs="Courier New" w:hint="default"/>
      </w:rPr>
    </w:lvl>
    <w:lvl w:ilvl="8" w:tplc="0A68ACF2" w:tentative="1">
      <w:start w:val="1"/>
      <w:numFmt w:val="bullet"/>
      <w:lvlText w:val=""/>
      <w:lvlJc w:val="left"/>
      <w:pPr>
        <w:tabs>
          <w:tab w:val="num" w:pos="4691"/>
        </w:tabs>
        <w:ind w:left="4691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CB15951"/>
    <w:multiLevelType w:val="hybridMultilevel"/>
    <w:tmpl w:val="935828EC"/>
    <w:lvl w:ilvl="0" w:tplc="4A70139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EC2F14"/>
    <w:multiLevelType w:val="hybridMultilevel"/>
    <w:tmpl w:val="AA46AD70"/>
    <w:lvl w:ilvl="0" w:tplc="97CE5258">
      <w:start w:val="1"/>
      <w:numFmt w:val="bullet"/>
      <w:lvlText w:val=""/>
      <w:lvlJc w:val="left"/>
      <w:pPr>
        <w:ind w:left="1578" w:hanging="360"/>
      </w:pPr>
      <w:rPr>
        <w:rFonts w:ascii="Symbol" w:hAnsi="Symbol" w:hint="default"/>
      </w:rPr>
    </w:lvl>
    <w:lvl w:ilvl="1" w:tplc="621C69D8">
      <w:start w:val="1"/>
      <w:numFmt w:val="bullet"/>
      <w:lvlText w:val="o"/>
      <w:lvlJc w:val="left"/>
      <w:pPr>
        <w:ind w:left="2298" w:hanging="360"/>
      </w:pPr>
      <w:rPr>
        <w:rFonts w:ascii="Courier New" w:hAnsi="Courier New" w:cs="Courier New" w:hint="default"/>
      </w:rPr>
    </w:lvl>
    <w:lvl w:ilvl="2" w:tplc="25941AEC" w:tentative="1">
      <w:start w:val="1"/>
      <w:numFmt w:val="bullet"/>
      <w:lvlText w:val=""/>
      <w:lvlJc w:val="left"/>
      <w:pPr>
        <w:ind w:left="3018" w:hanging="360"/>
      </w:pPr>
      <w:rPr>
        <w:rFonts w:ascii="Wingdings" w:hAnsi="Wingdings" w:hint="default"/>
      </w:rPr>
    </w:lvl>
    <w:lvl w:ilvl="3" w:tplc="5498C1D8" w:tentative="1">
      <w:start w:val="1"/>
      <w:numFmt w:val="bullet"/>
      <w:lvlText w:val=""/>
      <w:lvlJc w:val="left"/>
      <w:pPr>
        <w:ind w:left="3738" w:hanging="360"/>
      </w:pPr>
      <w:rPr>
        <w:rFonts w:ascii="Symbol" w:hAnsi="Symbol" w:hint="default"/>
      </w:rPr>
    </w:lvl>
    <w:lvl w:ilvl="4" w:tplc="0066ACBC" w:tentative="1">
      <w:start w:val="1"/>
      <w:numFmt w:val="bullet"/>
      <w:lvlText w:val="o"/>
      <w:lvlJc w:val="left"/>
      <w:pPr>
        <w:ind w:left="4458" w:hanging="360"/>
      </w:pPr>
      <w:rPr>
        <w:rFonts w:ascii="Courier New" w:hAnsi="Courier New" w:cs="Courier New" w:hint="default"/>
      </w:rPr>
    </w:lvl>
    <w:lvl w:ilvl="5" w:tplc="5E7E794C" w:tentative="1">
      <w:start w:val="1"/>
      <w:numFmt w:val="bullet"/>
      <w:lvlText w:val=""/>
      <w:lvlJc w:val="left"/>
      <w:pPr>
        <w:ind w:left="5178" w:hanging="360"/>
      </w:pPr>
      <w:rPr>
        <w:rFonts w:ascii="Wingdings" w:hAnsi="Wingdings" w:hint="default"/>
      </w:rPr>
    </w:lvl>
    <w:lvl w:ilvl="6" w:tplc="DE586460" w:tentative="1">
      <w:start w:val="1"/>
      <w:numFmt w:val="bullet"/>
      <w:lvlText w:val=""/>
      <w:lvlJc w:val="left"/>
      <w:pPr>
        <w:ind w:left="5898" w:hanging="360"/>
      </w:pPr>
      <w:rPr>
        <w:rFonts w:ascii="Symbol" w:hAnsi="Symbol" w:hint="default"/>
      </w:rPr>
    </w:lvl>
    <w:lvl w:ilvl="7" w:tplc="0E0C60E2" w:tentative="1">
      <w:start w:val="1"/>
      <w:numFmt w:val="bullet"/>
      <w:lvlText w:val="o"/>
      <w:lvlJc w:val="left"/>
      <w:pPr>
        <w:ind w:left="6618" w:hanging="360"/>
      </w:pPr>
      <w:rPr>
        <w:rFonts w:ascii="Courier New" w:hAnsi="Courier New" w:cs="Courier New" w:hint="default"/>
      </w:rPr>
    </w:lvl>
    <w:lvl w:ilvl="8" w:tplc="5B6C9608" w:tentative="1">
      <w:start w:val="1"/>
      <w:numFmt w:val="bullet"/>
      <w:lvlText w:val=""/>
      <w:lvlJc w:val="left"/>
      <w:pPr>
        <w:ind w:left="7338" w:hanging="360"/>
      </w:pPr>
      <w:rPr>
        <w:rFonts w:ascii="Wingdings" w:hAnsi="Wingdings" w:hint="default"/>
      </w:rPr>
    </w:lvl>
  </w:abstractNum>
  <w:abstractNum w:abstractNumId="19" w15:restartNumberingAfterBreak="0">
    <w:nsid w:val="5D3F7A32"/>
    <w:multiLevelType w:val="multilevel"/>
    <w:tmpl w:val="2834A5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2.%2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5DC06A79"/>
    <w:multiLevelType w:val="hybridMultilevel"/>
    <w:tmpl w:val="ACAE0CD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1D0534"/>
    <w:multiLevelType w:val="hybridMultilevel"/>
    <w:tmpl w:val="8D9637F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>
      <w:start w:val="1"/>
      <w:numFmt w:val="lowerLetter"/>
      <w:lvlText w:val="%2."/>
      <w:lvlJc w:val="left"/>
      <w:pPr>
        <w:ind w:left="1500" w:hanging="360"/>
      </w:pPr>
    </w:lvl>
    <w:lvl w:ilvl="2" w:tplc="0405001B">
      <w:start w:val="1"/>
      <w:numFmt w:val="lowerRoman"/>
      <w:lvlText w:val="%3."/>
      <w:lvlJc w:val="right"/>
      <w:pPr>
        <w:ind w:left="2220" w:hanging="180"/>
      </w:pPr>
    </w:lvl>
    <w:lvl w:ilvl="3" w:tplc="0405000F">
      <w:start w:val="1"/>
      <w:numFmt w:val="decimal"/>
      <w:lvlText w:val="%4."/>
      <w:lvlJc w:val="left"/>
      <w:pPr>
        <w:ind w:left="2940" w:hanging="360"/>
      </w:pPr>
    </w:lvl>
    <w:lvl w:ilvl="4" w:tplc="04050019">
      <w:start w:val="1"/>
      <w:numFmt w:val="lowerLetter"/>
      <w:lvlText w:val="%5."/>
      <w:lvlJc w:val="left"/>
      <w:pPr>
        <w:ind w:left="3660" w:hanging="360"/>
      </w:pPr>
    </w:lvl>
    <w:lvl w:ilvl="5" w:tplc="0405001B">
      <w:start w:val="1"/>
      <w:numFmt w:val="lowerRoman"/>
      <w:lvlText w:val="%6."/>
      <w:lvlJc w:val="right"/>
      <w:pPr>
        <w:ind w:left="4380" w:hanging="180"/>
      </w:pPr>
    </w:lvl>
    <w:lvl w:ilvl="6" w:tplc="0405000F">
      <w:start w:val="1"/>
      <w:numFmt w:val="decimal"/>
      <w:lvlText w:val="%7."/>
      <w:lvlJc w:val="left"/>
      <w:pPr>
        <w:ind w:left="5100" w:hanging="360"/>
      </w:pPr>
    </w:lvl>
    <w:lvl w:ilvl="7" w:tplc="04050019">
      <w:start w:val="1"/>
      <w:numFmt w:val="lowerLetter"/>
      <w:lvlText w:val="%8."/>
      <w:lvlJc w:val="left"/>
      <w:pPr>
        <w:ind w:left="5820" w:hanging="360"/>
      </w:pPr>
    </w:lvl>
    <w:lvl w:ilvl="8" w:tplc="0405001B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7013676E"/>
    <w:multiLevelType w:val="multilevel"/>
    <w:tmpl w:val="6E0079B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6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74104C2E"/>
    <w:multiLevelType w:val="hybridMultilevel"/>
    <w:tmpl w:val="42DA12CC"/>
    <w:lvl w:ilvl="0" w:tplc="A75C1DDE">
      <w:start w:val="1"/>
      <w:numFmt w:val="upperRoman"/>
      <w:pStyle w:val="Nadpis1"/>
      <w:lvlText w:val="Część %1."/>
      <w:lvlJc w:val="left"/>
      <w:pPr>
        <w:ind w:left="1277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7026B1"/>
    <w:multiLevelType w:val="hybridMultilevel"/>
    <w:tmpl w:val="FC166648"/>
    <w:lvl w:ilvl="0" w:tplc="E118EE86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28A83BCE" w:tentative="1">
      <w:start w:val="1"/>
      <w:numFmt w:val="lowerLetter"/>
      <w:lvlText w:val="%2."/>
      <w:lvlJc w:val="left"/>
      <w:pPr>
        <w:ind w:left="1440" w:hanging="360"/>
      </w:pPr>
    </w:lvl>
    <w:lvl w:ilvl="2" w:tplc="A79469A6" w:tentative="1">
      <w:start w:val="1"/>
      <w:numFmt w:val="lowerRoman"/>
      <w:lvlText w:val="%3."/>
      <w:lvlJc w:val="right"/>
      <w:pPr>
        <w:ind w:left="2160" w:hanging="180"/>
      </w:pPr>
    </w:lvl>
    <w:lvl w:ilvl="3" w:tplc="97D8CCFE" w:tentative="1">
      <w:start w:val="1"/>
      <w:numFmt w:val="decimal"/>
      <w:lvlText w:val="%4."/>
      <w:lvlJc w:val="left"/>
      <w:pPr>
        <w:ind w:left="2880" w:hanging="360"/>
      </w:pPr>
    </w:lvl>
    <w:lvl w:ilvl="4" w:tplc="A8289054" w:tentative="1">
      <w:start w:val="1"/>
      <w:numFmt w:val="lowerLetter"/>
      <w:lvlText w:val="%5."/>
      <w:lvlJc w:val="left"/>
      <w:pPr>
        <w:ind w:left="3600" w:hanging="360"/>
      </w:pPr>
    </w:lvl>
    <w:lvl w:ilvl="5" w:tplc="7DA6D330" w:tentative="1">
      <w:start w:val="1"/>
      <w:numFmt w:val="lowerRoman"/>
      <w:lvlText w:val="%6."/>
      <w:lvlJc w:val="right"/>
      <w:pPr>
        <w:ind w:left="4320" w:hanging="180"/>
      </w:pPr>
    </w:lvl>
    <w:lvl w:ilvl="6" w:tplc="941EC854" w:tentative="1">
      <w:start w:val="1"/>
      <w:numFmt w:val="decimal"/>
      <w:lvlText w:val="%7."/>
      <w:lvlJc w:val="left"/>
      <w:pPr>
        <w:ind w:left="5040" w:hanging="360"/>
      </w:pPr>
    </w:lvl>
    <w:lvl w:ilvl="7" w:tplc="DEE46430" w:tentative="1">
      <w:start w:val="1"/>
      <w:numFmt w:val="lowerLetter"/>
      <w:lvlText w:val="%8."/>
      <w:lvlJc w:val="left"/>
      <w:pPr>
        <w:ind w:left="5760" w:hanging="360"/>
      </w:pPr>
    </w:lvl>
    <w:lvl w:ilvl="8" w:tplc="15BAFA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636A9D"/>
    <w:multiLevelType w:val="multilevel"/>
    <w:tmpl w:val="EA80F7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7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743183062">
    <w:abstractNumId w:val="4"/>
  </w:num>
  <w:num w:numId="2" w16cid:durableId="1697269703">
    <w:abstractNumId w:val="6"/>
  </w:num>
  <w:num w:numId="3" w16cid:durableId="1841655715">
    <w:abstractNumId w:val="13"/>
  </w:num>
  <w:num w:numId="4" w16cid:durableId="442728335">
    <w:abstractNumId w:val="7"/>
  </w:num>
  <w:num w:numId="5" w16cid:durableId="206336169">
    <w:abstractNumId w:val="10"/>
  </w:num>
  <w:num w:numId="6" w16cid:durableId="284820460">
    <w:abstractNumId w:val="16"/>
  </w:num>
  <w:num w:numId="7" w16cid:durableId="715735895">
    <w:abstractNumId w:val="11"/>
  </w:num>
  <w:num w:numId="8" w16cid:durableId="1115294171">
    <w:abstractNumId w:val="22"/>
  </w:num>
  <w:num w:numId="9" w16cid:durableId="341052281">
    <w:abstractNumId w:val="25"/>
  </w:num>
  <w:num w:numId="10" w16cid:durableId="1735465517">
    <w:abstractNumId w:val="5"/>
  </w:num>
  <w:num w:numId="11" w16cid:durableId="602760580">
    <w:abstractNumId w:val="19"/>
  </w:num>
  <w:num w:numId="12" w16cid:durableId="814294196">
    <w:abstractNumId w:val="8"/>
  </w:num>
  <w:num w:numId="13" w16cid:durableId="810903285">
    <w:abstractNumId w:val="1"/>
  </w:num>
  <w:num w:numId="14" w16cid:durableId="1607421674">
    <w:abstractNumId w:val="24"/>
  </w:num>
  <w:num w:numId="15" w16cid:durableId="432288844">
    <w:abstractNumId w:val="18"/>
  </w:num>
  <w:num w:numId="16" w16cid:durableId="1455054291">
    <w:abstractNumId w:val="2"/>
  </w:num>
  <w:num w:numId="17" w16cid:durableId="161031298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7941075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5353699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2348985">
    <w:abstractNumId w:val="0"/>
  </w:num>
  <w:num w:numId="21" w16cid:durableId="96188068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31026492">
    <w:abstractNumId w:val="12"/>
  </w:num>
  <w:num w:numId="23" w16cid:durableId="1655916899">
    <w:abstractNumId w:val="3"/>
  </w:num>
  <w:num w:numId="24" w16cid:durableId="1415468655">
    <w:abstractNumId w:val="23"/>
  </w:num>
  <w:num w:numId="25" w16cid:durableId="836266530">
    <w:abstractNumId w:val="14"/>
  </w:num>
  <w:num w:numId="26" w16cid:durableId="217786781">
    <w:abstractNumId w:val="17"/>
  </w:num>
  <w:num w:numId="27" w16cid:durableId="1852136082">
    <w:abstractNumId w:val="20"/>
  </w:num>
  <w:num w:numId="28" w16cid:durableId="89282103">
    <w:abstractNumId w:val="21"/>
  </w:num>
  <w:num w:numId="29" w16cid:durableId="1474563225">
    <w:abstractNumId w:val="9"/>
  </w:num>
  <w:num w:numId="30" w16cid:durableId="1045259051">
    <w:abstractNumId w:val="9"/>
  </w:num>
  <w:num w:numId="31" w16cid:durableId="304168902">
    <w:abstractNumId w:val="23"/>
  </w:num>
  <w:num w:numId="32" w16cid:durableId="1261137609">
    <w:abstractNumId w:val="23"/>
  </w:num>
  <w:num w:numId="33" w16cid:durableId="1675690324">
    <w:abstractNumId w:val="23"/>
  </w:num>
  <w:num w:numId="34" w16cid:durableId="1566449355">
    <w:abstractNumId w:val="2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8C4"/>
    <w:rsid w:val="0000363A"/>
    <w:rsid w:val="00034739"/>
    <w:rsid w:val="00050993"/>
    <w:rsid w:val="000541B6"/>
    <w:rsid w:val="000552E9"/>
    <w:rsid w:val="00057B02"/>
    <w:rsid w:val="000646B2"/>
    <w:rsid w:val="00064CAC"/>
    <w:rsid w:val="000670DC"/>
    <w:rsid w:val="000701CF"/>
    <w:rsid w:val="0007365F"/>
    <w:rsid w:val="00080AF8"/>
    <w:rsid w:val="00092273"/>
    <w:rsid w:val="000A18EC"/>
    <w:rsid w:val="000B5A60"/>
    <w:rsid w:val="000B7DDC"/>
    <w:rsid w:val="000C0DB3"/>
    <w:rsid w:val="000C4E1B"/>
    <w:rsid w:val="000D4BE9"/>
    <w:rsid w:val="000D624E"/>
    <w:rsid w:val="000D7F33"/>
    <w:rsid w:val="000E2523"/>
    <w:rsid w:val="000F0C01"/>
    <w:rsid w:val="000F30DC"/>
    <w:rsid w:val="0010284D"/>
    <w:rsid w:val="00107307"/>
    <w:rsid w:val="001107BF"/>
    <w:rsid w:val="0011208A"/>
    <w:rsid w:val="001176B2"/>
    <w:rsid w:val="00126224"/>
    <w:rsid w:val="00127940"/>
    <w:rsid w:val="00130715"/>
    <w:rsid w:val="00132337"/>
    <w:rsid w:val="00134552"/>
    <w:rsid w:val="001356A6"/>
    <w:rsid w:val="00137E36"/>
    <w:rsid w:val="00143C06"/>
    <w:rsid w:val="00146235"/>
    <w:rsid w:val="00160FA2"/>
    <w:rsid w:val="00166AFC"/>
    <w:rsid w:val="00167690"/>
    <w:rsid w:val="00175ACC"/>
    <w:rsid w:val="001762AF"/>
    <w:rsid w:val="00176A2F"/>
    <w:rsid w:val="001827C1"/>
    <w:rsid w:val="001839BB"/>
    <w:rsid w:val="00190D79"/>
    <w:rsid w:val="001B2116"/>
    <w:rsid w:val="001C75C7"/>
    <w:rsid w:val="001D44D4"/>
    <w:rsid w:val="001E07AB"/>
    <w:rsid w:val="001E47A5"/>
    <w:rsid w:val="0020307B"/>
    <w:rsid w:val="00215FAE"/>
    <w:rsid w:val="00216A84"/>
    <w:rsid w:val="00220187"/>
    <w:rsid w:val="002353BE"/>
    <w:rsid w:val="00235C19"/>
    <w:rsid w:val="002608C4"/>
    <w:rsid w:val="00260E22"/>
    <w:rsid w:val="0027137B"/>
    <w:rsid w:val="0027511A"/>
    <w:rsid w:val="00277B18"/>
    <w:rsid w:val="002972C4"/>
    <w:rsid w:val="002B1D01"/>
    <w:rsid w:val="002B502F"/>
    <w:rsid w:val="002B5ED2"/>
    <w:rsid w:val="002B7FA0"/>
    <w:rsid w:val="002C01EB"/>
    <w:rsid w:val="002C2DD4"/>
    <w:rsid w:val="002C43D9"/>
    <w:rsid w:val="002C5D22"/>
    <w:rsid w:val="002D0843"/>
    <w:rsid w:val="002D518B"/>
    <w:rsid w:val="002E2695"/>
    <w:rsid w:val="002E60A8"/>
    <w:rsid w:val="002F271B"/>
    <w:rsid w:val="002F3763"/>
    <w:rsid w:val="002F6125"/>
    <w:rsid w:val="0031323A"/>
    <w:rsid w:val="00313F9C"/>
    <w:rsid w:val="00314892"/>
    <w:rsid w:val="0031578B"/>
    <w:rsid w:val="0032086A"/>
    <w:rsid w:val="00323327"/>
    <w:rsid w:val="0032530C"/>
    <w:rsid w:val="003261DA"/>
    <w:rsid w:val="0033457B"/>
    <w:rsid w:val="00337C23"/>
    <w:rsid w:val="00337D12"/>
    <w:rsid w:val="00345210"/>
    <w:rsid w:val="0034552D"/>
    <w:rsid w:val="00351801"/>
    <w:rsid w:val="00352C55"/>
    <w:rsid w:val="0035383D"/>
    <w:rsid w:val="00363B43"/>
    <w:rsid w:val="003726FB"/>
    <w:rsid w:val="00377E6F"/>
    <w:rsid w:val="003A0D94"/>
    <w:rsid w:val="003B2BD5"/>
    <w:rsid w:val="003C4BE4"/>
    <w:rsid w:val="003D1F81"/>
    <w:rsid w:val="003E1C72"/>
    <w:rsid w:val="003E26B1"/>
    <w:rsid w:val="003F5210"/>
    <w:rsid w:val="004071AD"/>
    <w:rsid w:val="004319B5"/>
    <w:rsid w:val="00454BA4"/>
    <w:rsid w:val="00455782"/>
    <w:rsid w:val="00470AC8"/>
    <w:rsid w:val="004712E3"/>
    <w:rsid w:val="00473FA5"/>
    <w:rsid w:val="0047454E"/>
    <w:rsid w:val="00487A26"/>
    <w:rsid w:val="004A1FAF"/>
    <w:rsid w:val="004B5338"/>
    <w:rsid w:val="004B53E7"/>
    <w:rsid w:val="004B654C"/>
    <w:rsid w:val="004C753F"/>
    <w:rsid w:val="004D4D81"/>
    <w:rsid w:val="004D5EEE"/>
    <w:rsid w:val="004D7503"/>
    <w:rsid w:val="004D768D"/>
    <w:rsid w:val="0050151F"/>
    <w:rsid w:val="00507313"/>
    <w:rsid w:val="0051275C"/>
    <w:rsid w:val="005147CE"/>
    <w:rsid w:val="00514DC4"/>
    <w:rsid w:val="00531562"/>
    <w:rsid w:val="00534884"/>
    <w:rsid w:val="005356A1"/>
    <w:rsid w:val="00561C21"/>
    <w:rsid w:val="0056597F"/>
    <w:rsid w:val="00576990"/>
    <w:rsid w:val="005900B9"/>
    <w:rsid w:val="005948CB"/>
    <w:rsid w:val="005A0D05"/>
    <w:rsid w:val="005A6120"/>
    <w:rsid w:val="005A7152"/>
    <w:rsid w:val="005B7BE1"/>
    <w:rsid w:val="005C023C"/>
    <w:rsid w:val="005C2171"/>
    <w:rsid w:val="005C3582"/>
    <w:rsid w:val="005C6D5D"/>
    <w:rsid w:val="005D3A8E"/>
    <w:rsid w:val="005D7139"/>
    <w:rsid w:val="005F3ABC"/>
    <w:rsid w:val="005F4484"/>
    <w:rsid w:val="00604B8C"/>
    <w:rsid w:val="00606E6A"/>
    <w:rsid w:val="00612426"/>
    <w:rsid w:val="00617343"/>
    <w:rsid w:val="00620188"/>
    <w:rsid w:val="00622C97"/>
    <w:rsid w:val="00625E68"/>
    <w:rsid w:val="006349FF"/>
    <w:rsid w:val="00636C51"/>
    <w:rsid w:val="0064043A"/>
    <w:rsid w:val="00643809"/>
    <w:rsid w:val="00646FE1"/>
    <w:rsid w:val="00656D3C"/>
    <w:rsid w:val="00660375"/>
    <w:rsid w:val="00662656"/>
    <w:rsid w:val="00664CD3"/>
    <w:rsid w:val="006856EF"/>
    <w:rsid w:val="00687DAB"/>
    <w:rsid w:val="00693983"/>
    <w:rsid w:val="00695755"/>
    <w:rsid w:val="006B704C"/>
    <w:rsid w:val="006C03B9"/>
    <w:rsid w:val="006F73A0"/>
    <w:rsid w:val="007051EB"/>
    <w:rsid w:val="007069D4"/>
    <w:rsid w:val="00727216"/>
    <w:rsid w:val="0073374D"/>
    <w:rsid w:val="00746483"/>
    <w:rsid w:val="0074752A"/>
    <w:rsid w:val="00757DC9"/>
    <w:rsid w:val="00773B4C"/>
    <w:rsid w:val="0077500C"/>
    <w:rsid w:val="0077729A"/>
    <w:rsid w:val="007905DD"/>
    <w:rsid w:val="00792BB8"/>
    <w:rsid w:val="0079589F"/>
    <w:rsid w:val="007A2DA5"/>
    <w:rsid w:val="007A371A"/>
    <w:rsid w:val="007A67DB"/>
    <w:rsid w:val="007A7050"/>
    <w:rsid w:val="007B0D81"/>
    <w:rsid w:val="007C41D8"/>
    <w:rsid w:val="007D2406"/>
    <w:rsid w:val="007D511C"/>
    <w:rsid w:val="007D5298"/>
    <w:rsid w:val="007E3F50"/>
    <w:rsid w:val="007E65CC"/>
    <w:rsid w:val="007F1FDB"/>
    <w:rsid w:val="007F3CE6"/>
    <w:rsid w:val="007F6A47"/>
    <w:rsid w:val="008225E2"/>
    <w:rsid w:val="0082524B"/>
    <w:rsid w:val="008303EA"/>
    <w:rsid w:val="0084029B"/>
    <w:rsid w:val="00844DE2"/>
    <w:rsid w:val="008534A7"/>
    <w:rsid w:val="00856CED"/>
    <w:rsid w:val="008602DE"/>
    <w:rsid w:val="008643A9"/>
    <w:rsid w:val="00872850"/>
    <w:rsid w:val="008929C9"/>
    <w:rsid w:val="0089468D"/>
    <w:rsid w:val="008A5793"/>
    <w:rsid w:val="008B1082"/>
    <w:rsid w:val="008B2AD9"/>
    <w:rsid w:val="008B6351"/>
    <w:rsid w:val="008B6D26"/>
    <w:rsid w:val="008D35BE"/>
    <w:rsid w:val="008D7CB6"/>
    <w:rsid w:val="008E59CB"/>
    <w:rsid w:val="008F3DAA"/>
    <w:rsid w:val="00902A19"/>
    <w:rsid w:val="009036FF"/>
    <w:rsid w:val="0091184C"/>
    <w:rsid w:val="00913D57"/>
    <w:rsid w:val="00916CA7"/>
    <w:rsid w:val="00916E56"/>
    <w:rsid w:val="00925922"/>
    <w:rsid w:val="009311A1"/>
    <w:rsid w:val="0093332C"/>
    <w:rsid w:val="00946555"/>
    <w:rsid w:val="009467D1"/>
    <w:rsid w:val="00954B3F"/>
    <w:rsid w:val="00957082"/>
    <w:rsid w:val="00962D9B"/>
    <w:rsid w:val="009749F8"/>
    <w:rsid w:val="009775DC"/>
    <w:rsid w:val="009827C7"/>
    <w:rsid w:val="00985557"/>
    <w:rsid w:val="00986FD9"/>
    <w:rsid w:val="00990A96"/>
    <w:rsid w:val="009A56CB"/>
    <w:rsid w:val="009B713D"/>
    <w:rsid w:val="009B7423"/>
    <w:rsid w:val="009C119D"/>
    <w:rsid w:val="009D155B"/>
    <w:rsid w:val="009D227D"/>
    <w:rsid w:val="009D45B8"/>
    <w:rsid w:val="009E2364"/>
    <w:rsid w:val="009E5921"/>
    <w:rsid w:val="009F15B1"/>
    <w:rsid w:val="009F5B4A"/>
    <w:rsid w:val="00A015AF"/>
    <w:rsid w:val="00A0721D"/>
    <w:rsid w:val="00A10F52"/>
    <w:rsid w:val="00A20AFD"/>
    <w:rsid w:val="00A2464E"/>
    <w:rsid w:val="00A430A6"/>
    <w:rsid w:val="00A92847"/>
    <w:rsid w:val="00A932F0"/>
    <w:rsid w:val="00A973A8"/>
    <w:rsid w:val="00AA5424"/>
    <w:rsid w:val="00AA6E94"/>
    <w:rsid w:val="00AB1B16"/>
    <w:rsid w:val="00AB5534"/>
    <w:rsid w:val="00AD0F50"/>
    <w:rsid w:val="00AD1ED4"/>
    <w:rsid w:val="00AD7266"/>
    <w:rsid w:val="00AE2BD7"/>
    <w:rsid w:val="00AF0574"/>
    <w:rsid w:val="00AF49B8"/>
    <w:rsid w:val="00AF516E"/>
    <w:rsid w:val="00B01B30"/>
    <w:rsid w:val="00B10C20"/>
    <w:rsid w:val="00B25C91"/>
    <w:rsid w:val="00B316FA"/>
    <w:rsid w:val="00B33494"/>
    <w:rsid w:val="00B34BC0"/>
    <w:rsid w:val="00B51683"/>
    <w:rsid w:val="00B53177"/>
    <w:rsid w:val="00B55CFA"/>
    <w:rsid w:val="00B6028E"/>
    <w:rsid w:val="00B62D5F"/>
    <w:rsid w:val="00B865A4"/>
    <w:rsid w:val="00B90446"/>
    <w:rsid w:val="00B9093D"/>
    <w:rsid w:val="00BA2CB2"/>
    <w:rsid w:val="00BA2EDB"/>
    <w:rsid w:val="00BA5BEC"/>
    <w:rsid w:val="00BA7913"/>
    <w:rsid w:val="00BC33B7"/>
    <w:rsid w:val="00BD57E6"/>
    <w:rsid w:val="00BE518D"/>
    <w:rsid w:val="00BF02E0"/>
    <w:rsid w:val="00BF26D0"/>
    <w:rsid w:val="00BF78F4"/>
    <w:rsid w:val="00C11AB8"/>
    <w:rsid w:val="00C14782"/>
    <w:rsid w:val="00C1582D"/>
    <w:rsid w:val="00C16292"/>
    <w:rsid w:val="00C277B1"/>
    <w:rsid w:val="00C27D01"/>
    <w:rsid w:val="00C32A3B"/>
    <w:rsid w:val="00C33E06"/>
    <w:rsid w:val="00C42E0E"/>
    <w:rsid w:val="00C452CC"/>
    <w:rsid w:val="00C5565D"/>
    <w:rsid w:val="00C56D62"/>
    <w:rsid w:val="00C60FDB"/>
    <w:rsid w:val="00C6230C"/>
    <w:rsid w:val="00C67AA8"/>
    <w:rsid w:val="00C70FE8"/>
    <w:rsid w:val="00C72625"/>
    <w:rsid w:val="00C769C8"/>
    <w:rsid w:val="00C77C9F"/>
    <w:rsid w:val="00C819A1"/>
    <w:rsid w:val="00C82ECD"/>
    <w:rsid w:val="00C93AC7"/>
    <w:rsid w:val="00CB294C"/>
    <w:rsid w:val="00CD6644"/>
    <w:rsid w:val="00CF0A97"/>
    <w:rsid w:val="00CF2134"/>
    <w:rsid w:val="00CF6B28"/>
    <w:rsid w:val="00CF70F3"/>
    <w:rsid w:val="00D0013D"/>
    <w:rsid w:val="00D249E9"/>
    <w:rsid w:val="00D26096"/>
    <w:rsid w:val="00D30091"/>
    <w:rsid w:val="00D522C3"/>
    <w:rsid w:val="00D60720"/>
    <w:rsid w:val="00D62ACE"/>
    <w:rsid w:val="00D6349E"/>
    <w:rsid w:val="00D94DED"/>
    <w:rsid w:val="00DA41A6"/>
    <w:rsid w:val="00DA6F4B"/>
    <w:rsid w:val="00DB6AF1"/>
    <w:rsid w:val="00DD1097"/>
    <w:rsid w:val="00DE3222"/>
    <w:rsid w:val="00DE3656"/>
    <w:rsid w:val="00E000FF"/>
    <w:rsid w:val="00E2143D"/>
    <w:rsid w:val="00E234E9"/>
    <w:rsid w:val="00E26E98"/>
    <w:rsid w:val="00E35686"/>
    <w:rsid w:val="00E41AE2"/>
    <w:rsid w:val="00E46FF2"/>
    <w:rsid w:val="00E520F4"/>
    <w:rsid w:val="00E61C1F"/>
    <w:rsid w:val="00E63740"/>
    <w:rsid w:val="00E91194"/>
    <w:rsid w:val="00E91534"/>
    <w:rsid w:val="00E93FF1"/>
    <w:rsid w:val="00E962C3"/>
    <w:rsid w:val="00EA2448"/>
    <w:rsid w:val="00EA66F6"/>
    <w:rsid w:val="00EB3A20"/>
    <w:rsid w:val="00EC4F78"/>
    <w:rsid w:val="00ED4848"/>
    <w:rsid w:val="00ED7BF0"/>
    <w:rsid w:val="00EE0F32"/>
    <w:rsid w:val="00EE4E84"/>
    <w:rsid w:val="00EF4FA6"/>
    <w:rsid w:val="00F005D9"/>
    <w:rsid w:val="00F0087A"/>
    <w:rsid w:val="00F01F9A"/>
    <w:rsid w:val="00F269E2"/>
    <w:rsid w:val="00F320AD"/>
    <w:rsid w:val="00F423D7"/>
    <w:rsid w:val="00F4520E"/>
    <w:rsid w:val="00F47CB9"/>
    <w:rsid w:val="00F655EE"/>
    <w:rsid w:val="00F72F66"/>
    <w:rsid w:val="00F8186B"/>
    <w:rsid w:val="00F81D73"/>
    <w:rsid w:val="00F8306E"/>
    <w:rsid w:val="00F85925"/>
    <w:rsid w:val="00F95F13"/>
    <w:rsid w:val="00FA75EA"/>
    <w:rsid w:val="00FC6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022E583"/>
  <w15:docId w15:val="{DABB79E9-3B3B-44E8-8BC1-9D3BD410E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7DDC"/>
    <w:pPr>
      <w:spacing w:after="120"/>
    </w:pPr>
    <w:rPr>
      <w:rFonts w:ascii="Arial" w:hAnsi="Arial"/>
      <w:sz w:val="22"/>
      <w:szCs w:val="22"/>
      <w:lang w:val="en-US"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827C1"/>
    <w:pPr>
      <w:keepNext/>
      <w:keepLines/>
      <w:numPr>
        <w:numId w:val="24"/>
      </w:numPr>
      <w:spacing w:before="480"/>
      <w:outlineLvl w:val="0"/>
    </w:pPr>
    <w:rPr>
      <w:b/>
      <w:bCs/>
      <w:color w:val="365F91"/>
      <w:sz w:val="28"/>
      <w:szCs w:val="28"/>
    </w:rPr>
  </w:style>
  <w:style w:type="paragraph" w:styleId="Nadpis2">
    <w:name w:val="heading 2"/>
    <w:aliases w:val="Podkapitola 1,Podkapitola 11,Podkapitola 111,Podkapitola 112,Podkapitola 113,Podkapitola 12,Podkapitola 121,Podkapitola 122,Podkapitola 123,Podkapitola 13,Podkapitola 131,Podkapitola 132,Podkapitola 14,Podkapitola 15,Podkapitola 16,V_Head2,h2"/>
    <w:basedOn w:val="Normln"/>
    <w:next w:val="Normln"/>
    <w:link w:val="Nadpis2Char"/>
    <w:autoRedefine/>
    <w:uiPriority w:val="99"/>
    <w:unhideWhenUsed/>
    <w:qFormat/>
    <w:rsid w:val="002B7FA0"/>
    <w:pPr>
      <w:keepNext/>
      <w:keepLines/>
      <w:numPr>
        <w:numId w:val="29"/>
      </w:numPr>
      <w:spacing w:before="360"/>
      <w:ind w:left="0" w:hanging="10"/>
      <w:jc w:val="center"/>
      <w:outlineLvl w:val="1"/>
    </w:pPr>
    <w:rPr>
      <w:b/>
      <w:bCs/>
      <w:color w:val="4F81BD" w:themeColor="accent1"/>
      <w:sz w:val="26"/>
      <w:szCs w:val="26"/>
      <w:lang w:val="cs-CZ"/>
    </w:rPr>
  </w:style>
  <w:style w:type="paragraph" w:styleId="Nadpis3">
    <w:name w:val="heading 3"/>
    <w:basedOn w:val="Normln"/>
    <w:next w:val="Normln"/>
    <w:link w:val="Nadpis3Char"/>
    <w:autoRedefine/>
    <w:uiPriority w:val="99"/>
    <w:unhideWhenUsed/>
    <w:qFormat/>
    <w:rsid w:val="001827C1"/>
    <w:pPr>
      <w:keepNext/>
      <w:keepLines/>
      <w:numPr>
        <w:numId w:val="23"/>
      </w:numPr>
      <w:spacing w:before="200"/>
      <w:ind w:left="567" w:hanging="567"/>
      <w:outlineLvl w:val="2"/>
    </w:pPr>
    <w:rPr>
      <w:b/>
      <w:bCs/>
      <w:color w:val="000000" w:themeColor="text1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56014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6014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6014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560142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560142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unhideWhenUsed/>
    <w:qFormat/>
    <w:rsid w:val="00560142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827C1"/>
    <w:rPr>
      <w:rFonts w:ascii="Arial" w:hAnsi="Arial"/>
      <w:b/>
      <w:bCs/>
      <w:color w:val="365F91"/>
      <w:sz w:val="28"/>
      <w:szCs w:val="28"/>
      <w:lang w:val="en-US" w:eastAsia="en-US" w:bidi="en-US"/>
    </w:rPr>
  </w:style>
  <w:style w:type="character" w:customStyle="1" w:styleId="Nadpis2Char">
    <w:name w:val="Nadpis 2 Char"/>
    <w:aliases w:val="Podkapitola 1 Char,Podkapitola 11 Char,Podkapitola 111 Char,Podkapitola 112 Char,Podkapitola 113 Char,Podkapitola 12 Char,Podkapitola 121 Char,Podkapitola 122 Char,Podkapitola 123 Char,Podkapitola 13 Char,Podkapitola 131 Char,V_Head2 Char"/>
    <w:basedOn w:val="Standardnpsmoodstavce"/>
    <w:link w:val="Nadpis2"/>
    <w:uiPriority w:val="99"/>
    <w:rsid w:val="002B7FA0"/>
    <w:rPr>
      <w:rFonts w:ascii="Arial" w:hAnsi="Arial"/>
      <w:b/>
      <w:bCs/>
      <w:color w:val="4F81BD" w:themeColor="accent1"/>
      <w:sz w:val="26"/>
      <w:szCs w:val="26"/>
      <w:lang w:eastAsia="en-US" w:bidi="en-US"/>
    </w:rPr>
  </w:style>
  <w:style w:type="character" w:customStyle="1" w:styleId="Nadpis3Char">
    <w:name w:val="Nadpis 3 Char"/>
    <w:basedOn w:val="Standardnpsmoodstavce"/>
    <w:link w:val="Nadpis3"/>
    <w:uiPriority w:val="99"/>
    <w:rsid w:val="001827C1"/>
    <w:rPr>
      <w:rFonts w:ascii="Arial" w:hAnsi="Arial"/>
      <w:b/>
      <w:bCs/>
      <w:color w:val="000000" w:themeColor="text1"/>
      <w:sz w:val="22"/>
      <w:szCs w:val="22"/>
      <w:lang w:val="en-US" w:eastAsia="en-US" w:bidi="en-US"/>
    </w:rPr>
  </w:style>
  <w:style w:type="character" w:customStyle="1" w:styleId="Nadpis4Char">
    <w:name w:val="Nadpis 4 Char"/>
    <w:basedOn w:val="Standardnpsmoodstavce"/>
    <w:link w:val="Nadpis4"/>
    <w:uiPriority w:val="9"/>
    <w:rsid w:val="00560142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dpis7Char">
    <w:name w:val="Nadpis 7 Char"/>
    <w:basedOn w:val="Standardnpsmoodstavce"/>
    <w:link w:val="Nadpis7"/>
    <w:uiPriority w:val="9"/>
    <w:rsid w:val="00560142"/>
    <w:rPr>
      <w:rFonts w:ascii="Cambria" w:eastAsia="Times New Roman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rsid w:val="00560142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56014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911C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170A"/>
    <w:rPr>
      <w:sz w:val="2"/>
      <w:szCs w:val="2"/>
    </w:rPr>
  </w:style>
  <w:style w:type="paragraph" w:styleId="Textpoznpodarou">
    <w:name w:val="footnote text"/>
    <w:aliases w:val="Footnote,Footnote Text Char,Footnote Text Char Char,Footnote Text Char1,Footnote Text Char3 Char Char,Podrozdzia3,Podrozdział,Schriftart: 10 pt,Schriftart: 8 pt,Schriftart: 9 pt,Text pozn. pod čarou Char,pozn. pod čarou"/>
    <w:basedOn w:val="Normln"/>
    <w:link w:val="TextpoznpodarouChar1"/>
    <w:qFormat/>
    <w:rsid w:val="00DE7586"/>
    <w:pPr>
      <w:ind w:left="142" w:hanging="142"/>
    </w:pPr>
    <w:rPr>
      <w:sz w:val="20"/>
      <w:szCs w:val="20"/>
    </w:rPr>
  </w:style>
  <w:style w:type="character" w:customStyle="1" w:styleId="TextpoznpodarouChar1">
    <w:name w:val="Text pozn. pod čarou Char1"/>
    <w:aliases w:val="Footnote Char,Footnote Text Char Char1,Footnote Text Char Char Char,Footnote Text Char1 Char,Footnote Text Char3 Char Char Char,Podrozdzia3 Char,Podrozdział Char,Schriftart: 10 pt Char,Schriftart: 8 pt Char"/>
    <w:basedOn w:val="Standardnpsmoodstavce"/>
    <w:link w:val="Textpoznpodarou"/>
    <w:rsid w:val="00D9170A"/>
    <w:rPr>
      <w:sz w:val="20"/>
      <w:szCs w:val="20"/>
    </w:rPr>
  </w:style>
  <w:style w:type="character" w:styleId="Znakapoznpodarou">
    <w:name w:val="footnote reference"/>
    <w:aliases w:val="12 b.,Appel note de bas de p,Appel note de bas de page,BVI fnr,Char Car Car Car Car,Footnote Reference Superscript,Footnote symbol,Légende,PGI Fußnote Ziffer,PGI Fußnote Ziffer + Times New Roman,Voetnootverwijzing,Zúžené o ..."/>
    <w:basedOn w:val="Standardnpsmoodstavce"/>
    <w:rsid w:val="00DE7586"/>
    <w:rPr>
      <w:vertAlign w:val="superscript"/>
    </w:rPr>
  </w:style>
  <w:style w:type="paragraph" w:styleId="Zpat">
    <w:name w:val="footer"/>
    <w:basedOn w:val="Normln"/>
    <w:link w:val="ZpatChar"/>
    <w:uiPriority w:val="99"/>
    <w:rsid w:val="00DE7586"/>
    <w:pPr>
      <w:tabs>
        <w:tab w:val="center" w:pos="4536"/>
        <w:tab w:val="right" w:pos="9072"/>
      </w:tabs>
      <w:jc w:val="center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D9170A"/>
    <w:rPr>
      <w:sz w:val="20"/>
      <w:szCs w:val="20"/>
    </w:rPr>
  </w:style>
  <w:style w:type="paragraph" w:styleId="Zhlav">
    <w:name w:val="header"/>
    <w:basedOn w:val="Normln"/>
    <w:link w:val="ZhlavChar"/>
    <w:rsid w:val="00DE75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9170A"/>
    <w:rPr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DE7586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9170A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DE7586"/>
  </w:style>
  <w:style w:type="paragraph" w:customStyle="1" w:styleId="l3">
    <w:name w:val="čl3"/>
    <w:basedOn w:val="Normln"/>
    <w:uiPriority w:val="99"/>
    <w:rsid w:val="00DE7586"/>
    <w:pPr>
      <w:numPr>
        <w:numId w:val="1"/>
      </w:numPr>
      <w:jc w:val="both"/>
    </w:pPr>
    <w:rPr>
      <w:szCs w:val="24"/>
    </w:rPr>
  </w:style>
  <w:style w:type="paragraph" w:customStyle="1" w:styleId="StylZkladntext2Zarovnatdobloku">
    <w:name w:val="Styl Základní text 2 + Zarovnat do bloku"/>
    <w:basedOn w:val="Zkladntext2"/>
    <w:uiPriority w:val="99"/>
    <w:rsid w:val="00DE7586"/>
    <w:pPr>
      <w:numPr>
        <w:numId w:val="2"/>
      </w:numPr>
      <w:spacing w:line="240" w:lineRule="auto"/>
      <w:jc w:val="both"/>
    </w:pPr>
    <w:rPr>
      <w:szCs w:val="24"/>
    </w:rPr>
  </w:style>
  <w:style w:type="character" w:styleId="Odkaznakoment">
    <w:name w:val="annotation reference"/>
    <w:basedOn w:val="Standardnpsmoodstavce"/>
    <w:uiPriority w:val="99"/>
    <w:semiHidden/>
    <w:rsid w:val="003743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37430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170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3743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70A"/>
    <w:rPr>
      <w:b/>
      <w:bCs/>
      <w:sz w:val="20"/>
      <w:szCs w:val="20"/>
    </w:rPr>
  </w:style>
  <w:style w:type="paragraph" w:customStyle="1" w:styleId="odrakyslalev">
    <w:name w:val="odražky čísla levé"/>
    <w:basedOn w:val="Normlnodsazen"/>
    <w:uiPriority w:val="99"/>
    <w:rsid w:val="00E1292D"/>
    <w:pPr>
      <w:numPr>
        <w:numId w:val="5"/>
      </w:numPr>
      <w:spacing w:before="120"/>
      <w:jc w:val="both"/>
    </w:pPr>
    <w:rPr>
      <w:szCs w:val="24"/>
    </w:rPr>
  </w:style>
  <w:style w:type="paragraph" w:customStyle="1" w:styleId="Popisky">
    <w:name w:val="Popisky"/>
    <w:uiPriority w:val="99"/>
    <w:rsid w:val="00E1292D"/>
    <w:pPr>
      <w:spacing w:after="200" w:line="276" w:lineRule="auto"/>
    </w:pPr>
    <w:rPr>
      <w:rFonts w:ascii="Arial" w:hAnsi="Arial" w:cs="Arial"/>
      <w:lang w:val="en-US" w:eastAsia="en-US" w:bidi="en-US"/>
    </w:rPr>
  </w:style>
  <w:style w:type="paragraph" w:styleId="Normlnodsazen">
    <w:name w:val="Normal Indent"/>
    <w:basedOn w:val="Normln"/>
    <w:uiPriority w:val="99"/>
    <w:rsid w:val="00E1292D"/>
    <w:pPr>
      <w:ind w:left="708"/>
    </w:pPr>
  </w:style>
  <w:style w:type="paragraph" w:customStyle="1" w:styleId="CarCharCharCharCharChar">
    <w:name w:val="Car Char Char Char Char Char"/>
    <w:basedOn w:val="Normln"/>
    <w:uiPriority w:val="99"/>
    <w:rsid w:val="004C4E00"/>
    <w:pPr>
      <w:spacing w:after="160" w:line="240" w:lineRule="exact"/>
    </w:pPr>
    <w:rPr>
      <w:lang w:val="sk-SK"/>
    </w:rPr>
  </w:style>
  <w:style w:type="paragraph" w:styleId="slovanseznam">
    <w:name w:val="List Number"/>
    <w:basedOn w:val="Normln"/>
    <w:uiPriority w:val="99"/>
    <w:rsid w:val="005F4DC2"/>
    <w:pPr>
      <w:numPr>
        <w:numId w:val="4"/>
      </w:numPr>
      <w:tabs>
        <w:tab w:val="clear" w:pos="360"/>
        <w:tab w:val="num" w:pos="720"/>
      </w:tabs>
      <w:ind w:left="720" w:hanging="360"/>
      <w:jc w:val="both"/>
    </w:pPr>
    <w:rPr>
      <w:szCs w:val="24"/>
    </w:rPr>
  </w:style>
  <w:style w:type="paragraph" w:customStyle="1" w:styleId="ZnakZnak1CharZnakZnakCharCharCharCharZnakZnakCharCharCharCharCharCharChar">
    <w:name w:val="Znak Znak1 Char Znak Znak Char Char Char Char Znak Znak Char Char Char Char Char Char Char"/>
    <w:basedOn w:val="Normln"/>
    <w:uiPriority w:val="99"/>
    <w:rsid w:val="00507D44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Normlnsodrkami">
    <w:name w:val="Normální s odrážkami"/>
    <w:basedOn w:val="Normln"/>
    <w:uiPriority w:val="99"/>
    <w:rsid w:val="004E0A15"/>
    <w:pPr>
      <w:numPr>
        <w:numId w:val="6"/>
      </w:numPr>
      <w:jc w:val="both"/>
    </w:pPr>
    <w:rPr>
      <w:szCs w:val="24"/>
    </w:rPr>
  </w:style>
  <w:style w:type="paragraph" w:customStyle="1" w:styleId="ZnakZnak1CharZnakZnak">
    <w:name w:val="Znak Znak1 Char Znak Znak"/>
    <w:basedOn w:val="Normln"/>
    <w:uiPriority w:val="99"/>
    <w:rsid w:val="000B397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">
    <w:name w:val="Char Char"/>
    <w:basedOn w:val="Normln"/>
    <w:uiPriority w:val="99"/>
    <w:rsid w:val="00283A1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ZnakZnak1CharZnakZnakCharZnakZnak">
    <w:name w:val="Znak Znak1 Char Znak Znak Char Znak Znak"/>
    <w:basedOn w:val="Normln"/>
    <w:uiPriority w:val="99"/>
    <w:rsid w:val="0026385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">
    <w:name w:val="Char Char Char Char Char Char"/>
    <w:basedOn w:val="Normln"/>
    <w:uiPriority w:val="99"/>
    <w:rsid w:val="00D6084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Revize">
    <w:name w:val="Revision"/>
    <w:hidden/>
    <w:uiPriority w:val="99"/>
    <w:semiHidden/>
    <w:rsid w:val="00CB17FC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Rozloendokumentu">
    <w:name w:val="Document Map"/>
    <w:basedOn w:val="Normln"/>
    <w:link w:val="RozloendokumentuChar"/>
    <w:uiPriority w:val="99"/>
    <w:semiHidden/>
    <w:rsid w:val="00B91B7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D9170A"/>
    <w:rPr>
      <w:sz w:val="2"/>
      <w:szCs w:val="2"/>
    </w:rPr>
  </w:style>
  <w:style w:type="paragraph" w:styleId="Textvysvtlivek">
    <w:name w:val="endnote text"/>
    <w:basedOn w:val="Normln"/>
    <w:link w:val="TextvysvtlivekChar"/>
    <w:uiPriority w:val="99"/>
    <w:semiHidden/>
    <w:rsid w:val="00164E15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64E15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rsid w:val="00164E15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560142"/>
    <w:pPr>
      <w:ind w:left="720"/>
      <w:contextualSpacing/>
    </w:pPr>
  </w:style>
  <w:style w:type="paragraph" w:styleId="Zkladntext3">
    <w:name w:val="Body Text 3"/>
    <w:basedOn w:val="Normln"/>
    <w:link w:val="Zkladntext3Char"/>
    <w:uiPriority w:val="99"/>
    <w:rsid w:val="009B6F3F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9B6F3F"/>
    <w:rPr>
      <w:sz w:val="16"/>
      <w:szCs w:val="16"/>
    </w:rPr>
  </w:style>
  <w:style w:type="paragraph" w:styleId="Zkladntext">
    <w:name w:val="Body Text"/>
    <w:basedOn w:val="Normln"/>
    <w:link w:val="ZkladntextChar"/>
    <w:uiPriority w:val="99"/>
    <w:unhideWhenUsed/>
    <w:rsid w:val="00FD5556"/>
  </w:style>
  <w:style w:type="character" w:customStyle="1" w:styleId="ZkladntextChar">
    <w:name w:val="Základní text Char"/>
    <w:basedOn w:val="Standardnpsmoodstavce"/>
    <w:link w:val="Zkladntext"/>
    <w:uiPriority w:val="99"/>
    <w:rsid w:val="00FD5556"/>
  </w:style>
  <w:style w:type="paragraph" w:styleId="Nzev">
    <w:name w:val="Title"/>
    <w:basedOn w:val="Normln"/>
    <w:next w:val="Normln"/>
    <w:link w:val="NzevChar"/>
    <w:uiPriority w:val="10"/>
    <w:qFormat/>
    <w:rsid w:val="0056014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6014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Mjstyl3">
    <w:name w:val="Můj styl 3"/>
    <w:basedOn w:val="Normln"/>
    <w:rsid w:val="00560142"/>
  </w:style>
  <w:style w:type="character" w:customStyle="1" w:styleId="Nadpis5Char">
    <w:name w:val="Nadpis 5 Char"/>
    <w:basedOn w:val="Standardnpsmoodstavce"/>
    <w:link w:val="Nadpis5"/>
    <w:uiPriority w:val="9"/>
    <w:rsid w:val="00560142"/>
    <w:rPr>
      <w:rFonts w:ascii="Cambria" w:eastAsia="Times New Roman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uiPriority w:val="9"/>
    <w:rsid w:val="00560142"/>
    <w:rPr>
      <w:rFonts w:ascii="Cambria" w:eastAsia="Times New Roman" w:hAnsi="Cambria" w:cs="Times New Roman"/>
      <w:i/>
      <w:iCs/>
      <w:color w:val="243F6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60142"/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60142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560142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560142"/>
    <w:rPr>
      <w:b/>
      <w:bCs/>
    </w:rPr>
  </w:style>
  <w:style w:type="character" w:styleId="Zdraznn">
    <w:name w:val="Emphasis"/>
    <w:basedOn w:val="Standardnpsmoodstavce"/>
    <w:uiPriority w:val="20"/>
    <w:qFormat/>
    <w:rsid w:val="00560142"/>
    <w:rPr>
      <w:i/>
      <w:iCs/>
    </w:rPr>
  </w:style>
  <w:style w:type="paragraph" w:styleId="Bezmezer">
    <w:name w:val="No Spacing"/>
    <w:uiPriority w:val="1"/>
    <w:qFormat/>
    <w:rsid w:val="00560142"/>
    <w:rPr>
      <w:sz w:val="22"/>
      <w:szCs w:val="22"/>
      <w:lang w:val="en-US" w:eastAsia="en-US" w:bidi="en-US"/>
    </w:rPr>
  </w:style>
  <w:style w:type="paragraph" w:styleId="Citt">
    <w:name w:val="Quote"/>
    <w:basedOn w:val="Normln"/>
    <w:next w:val="Normln"/>
    <w:link w:val="CittChar"/>
    <w:uiPriority w:val="29"/>
    <w:qFormat/>
    <w:rsid w:val="00560142"/>
    <w:rPr>
      <w:i/>
      <w:iCs/>
      <w:color w:val="000000"/>
    </w:rPr>
  </w:style>
  <w:style w:type="character" w:customStyle="1" w:styleId="CittChar">
    <w:name w:val="Citát Char"/>
    <w:basedOn w:val="Standardnpsmoodstavce"/>
    <w:link w:val="Citt"/>
    <w:uiPriority w:val="29"/>
    <w:rsid w:val="00560142"/>
    <w:rPr>
      <w:i/>
      <w:iCs/>
      <w:color w:val="00000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6014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60142"/>
    <w:rPr>
      <w:b/>
      <w:bCs/>
      <w:i/>
      <w:iCs/>
      <w:color w:val="4F81BD"/>
    </w:rPr>
  </w:style>
  <w:style w:type="character" w:styleId="Zdraznnjemn">
    <w:name w:val="Subtle Emphasis"/>
    <w:basedOn w:val="Standardnpsmoodstavce"/>
    <w:uiPriority w:val="19"/>
    <w:qFormat/>
    <w:rsid w:val="00560142"/>
    <w:rPr>
      <w:i/>
      <w:iCs/>
      <w:color w:val="808080"/>
    </w:rPr>
  </w:style>
  <w:style w:type="character" w:styleId="Zdraznnintenzivn">
    <w:name w:val="Intense Emphasis"/>
    <w:basedOn w:val="Standardnpsmoodstavce"/>
    <w:uiPriority w:val="21"/>
    <w:qFormat/>
    <w:rsid w:val="00560142"/>
    <w:rPr>
      <w:b/>
      <w:bCs/>
      <w:i/>
      <w:iCs/>
      <w:color w:val="4F81BD"/>
    </w:rPr>
  </w:style>
  <w:style w:type="character" w:styleId="Odkazjemn">
    <w:name w:val="Subtle Reference"/>
    <w:basedOn w:val="Standardnpsmoodstavce"/>
    <w:uiPriority w:val="31"/>
    <w:qFormat/>
    <w:rsid w:val="00560142"/>
    <w:rPr>
      <w:smallCaps/>
      <w:color w:val="C0504D"/>
      <w:u w:val="single"/>
    </w:rPr>
  </w:style>
  <w:style w:type="character" w:styleId="Odkazintenzivn">
    <w:name w:val="Intense Reference"/>
    <w:basedOn w:val="Standardnpsmoodstavce"/>
    <w:uiPriority w:val="32"/>
    <w:qFormat/>
    <w:rsid w:val="00560142"/>
    <w:rPr>
      <w:b/>
      <w:bCs/>
      <w:smallCaps/>
      <w:color w:val="C0504D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560142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60142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560142"/>
  </w:style>
  <w:style w:type="paragraph" w:styleId="Obsah2">
    <w:name w:val="toc 2"/>
    <w:basedOn w:val="Normln"/>
    <w:next w:val="Normln"/>
    <w:autoRedefine/>
    <w:uiPriority w:val="39"/>
    <w:unhideWhenUsed/>
    <w:rsid w:val="00560142"/>
    <w:pPr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560142"/>
    <w:pPr>
      <w:ind w:left="440"/>
    </w:pPr>
  </w:style>
  <w:style w:type="character" w:styleId="Hypertextovodkaz">
    <w:name w:val="Hyperlink"/>
    <w:basedOn w:val="Standardnpsmoodstavce"/>
    <w:uiPriority w:val="99"/>
    <w:unhideWhenUsed/>
    <w:rsid w:val="00560142"/>
    <w:rPr>
      <w:color w:val="0000FF"/>
      <w:u w:val="single"/>
    </w:rPr>
  </w:style>
  <w:style w:type="character" w:customStyle="1" w:styleId="OdstavecseseznamemChar">
    <w:name w:val="Odstavec se seznamem Char"/>
    <w:link w:val="Odstavecseseznamem"/>
    <w:uiPriority w:val="99"/>
    <w:locked/>
    <w:rsid w:val="004F61D9"/>
    <w:rPr>
      <w:rFonts w:ascii="Times New Roman" w:hAnsi="Times New Roman"/>
      <w:sz w:val="24"/>
      <w:szCs w:val="22"/>
      <w:lang w:val="en-US" w:eastAsia="en-US" w:bidi="en-US"/>
    </w:rPr>
  </w:style>
  <w:style w:type="paragraph" w:customStyle="1" w:styleId="Default">
    <w:name w:val="Default"/>
    <w:rsid w:val="00D421AC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D421AC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D421AC"/>
    <w:rPr>
      <w:rFonts w:cs="Times New Roman"/>
      <w:color w:val="auto"/>
    </w:rPr>
  </w:style>
  <w:style w:type="table" w:styleId="Mkatabulky">
    <w:name w:val="Table Grid"/>
    <w:basedOn w:val="Normlntabulka"/>
    <w:uiPriority w:val="59"/>
    <w:rsid w:val="00C830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2">
    <w:name w:val="List 2"/>
    <w:basedOn w:val="Normln"/>
    <w:uiPriority w:val="99"/>
    <w:unhideWhenUsed/>
    <w:rsid w:val="00C277B1"/>
    <w:pPr>
      <w:ind w:left="566" w:hanging="283"/>
      <w:contextualSpacing/>
    </w:pPr>
  </w:style>
  <w:style w:type="paragraph" w:styleId="Seznamsodrkami">
    <w:name w:val="List Bullet"/>
    <w:basedOn w:val="Normln"/>
    <w:uiPriority w:val="99"/>
    <w:unhideWhenUsed/>
    <w:rsid w:val="00C277B1"/>
    <w:pPr>
      <w:numPr>
        <w:numId w:val="20"/>
      </w:numPr>
      <w:contextualSpacing/>
    </w:pPr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C277B1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C277B1"/>
    <w:rPr>
      <w:rFonts w:ascii="Times New Roman" w:hAnsi="Times New Roman"/>
      <w:sz w:val="24"/>
      <w:szCs w:val="22"/>
      <w:lang w:val="en-US" w:eastAsia="en-US" w:bidi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277B1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277B1"/>
    <w:rPr>
      <w:rFonts w:ascii="Times New Roman" w:hAnsi="Times New Roman"/>
      <w:sz w:val="24"/>
      <w:szCs w:val="22"/>
      <w:lang w:val="en-US" w:eastAsia="en-US" w:bidi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unhideWhenUsed/>
    <w:rsid w:val="00C277B1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sid w:val="00C277B1"/>
    <w:rPr>
      <w:rFonts w:ascii="Times New Roman" w:hAnsi="Times New Roman"/>
      <w:sz w:val="24"/>
      <w:szCs w:val="22"/>
      <w:lang w:val="en-US" w:eastAsia="en-US" w:bidi="en-US"/>
    </w:rPr>
  </w:style>
  <w:style w:type="paragraph" w:customStyle="1" w:styleId="CZ3Nadpis">
    <w:name w:val="CZ 3 Nadpis"/>
    <w:basedOn w:val="Nadpis3"/>
    <w:qFormat/>
    <w:rsid w:val="000B7DDC"/>
    <w:pPr>
      <w:numPr>
        <w:numId w:val="0"/>
      </w:numPr>
      <w:spacing w:before="40" w:line="259" w:lineRule="auto"/>
    </w:pPr>
    <w:rPr>
      <w:rFonts w:asciiTheme="majorHAnsi" w:eastAsiaTheme="majorEastAsia" w:hAnsiTheme="majorHAnsi" w:cstheme="majorBidi"/>
      <w:b w:val="0"/>
      <w:bCs w:val="0"/>
      <w:color w:val="000099"/>
      <w:sz w:val="24"/>
      <w:szCs w:val="24"/>
      <w:lang w:val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6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52B5F5-A479-4137-A8AD-ED4167495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5029</Words>
  <Characters>34492</Characters>
  <Application>Microsoft Office Word</Application>
  <DocSecurity>0</DocSecurity>
  <Lines>287</Lines>
  <Paragraphs>78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Rozhodnutí o poskytnutí dotace na projekt realizovaný v rámci programu Iniciativy Společenství INTERREG IIIA</vt:lpstr>
      <vt:lpstr>Rozhodnutí o poskytnutí dotace na projekt realizovaný v rámci programu Iniciativy Společenství INTERREG IIIA</vt:lpstr>
    </vt:vector>
  </TitlesOfParts>
  <Company>MMR</Company>
  <LinksUpToDate>false</LinksUpToDate>
  <CharactersWithSpaces>39443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 o poskytnutí dotace na projekt realizovaný v rámci programu Iniciativy Společenství INTERREG IIIA</dc:title>
  <dc:creator>Martin Buršík</dc:creator>
  <cp:lastModifiedBy>Píšová Miroslava</cp:lastModifiedBy>
  <cp:revision>6</cp:revision>
  <cp:lastPrinted>2024-04-30T11:15:00Z</cp:lastPrinted>
  <dcterms:created xsi:type="dcterms:W3CDTF">2024-07-26T11:25:00Z</dcterms:created>
  <dcterms:modified xsi:type="dcterms:W3CDTF">2024-07-29T11:09:00Z</dcterms:modified>
</cp:coreProperties>
</file>